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37E26" w14:textId="77777777" w:rsidR="00D31435" w:rsidRDefault="00D31435" w:rsidP="00D31435">
      <w:pPr>
        <w:pStyle w:val="Heading1"/>
      </w:pPr>
      <w:r>
        <w:t>Consolidation of criminal charges worksheet</w:t>
      </w:r>
    </w:p>
    <w:p w14:paraId="588B2788" w14:textId="77777777" w:rsidR="00D31435" w:rsidRPr="00CA7C01" w:rsidRDefault="00D31435" w:rsidP="00D31435">
      <w:pPr>
        <w:rPr>
          <w:b/>
        </w:rPr>
      </w:pPr>
      <w:r w:rsidRPr="00CA7C01">
        <w:rPr>
          <w:b/>
        </w:rPr>
        <w:t>Notes on Guidelines 4.1.11</w:t>
      </w:r>
    </w:p>
    <w:p w14:paraId="6D78814B" w14:textId="77777777" w:rsidR="00D31435" w:rsidRPr="00D31435" w:rsidRDefault="00D31435" w:rsidP="00D31435">
      <w:pPr>
        <w:rPr>
          <w:iCs/>
        </w:rPr>
      </w:pPr>
      <w:r w:rsidRPr="00D31435">
        <w:rPr>
          <w:iCs/>
        </w:rPr>
        <w:t>Practitioners should only recommend assistance at the consolidated rate where:</w:t>
      </w:r>
    </w:p>
    <w:p w14:paraId="430501DF" w14:textId="77777777" w:rsidR="00D31435" w:rsidRPr="00D31435" w:rsidRDefault="00D31435" w:rsidP="00D31435">
      <w:pPr>
        <w:pStyle w:val="VLAa"/>
        <w:numPr>
          <w:ilvl w:val="1"/>
          <w:numId w:val="21"/>
        </w:numPr>
        <w:rPr>
          <w:iCs/>
        </w:rPr>
      </w:pPr>
      <w:r w:rsidRPr="00D31435">
        <w:rPr>
          <w:iCs/>
        </w:rPr>
        <w:t>There are two or more sets of charges that fall within the guidelines for assistance.</w:t>
      </w:r>
    </w:p>
    <w:p w14:paraId="3225A9F2" w14:textId="77777777" w:rsidR="00D31435" w:rsidRPr="00D31435" w:rsidRDefault="00D31435" w:rsidP="00D31435">
      <w:pPr>
        <w:pStyle w:val="VLAa"/>
        <w:tabs>
          <w:tab w:val="clear" w:pos="714"/>
        </w:tabs>
        <w:ind w:left="357" w:firstLine="357"/>
        <w:rPr>
          <w:iCs/>
        </w:rPr>
      </w:pPr>
      <w:r w:rsidRPr="00D31435">
        <w:rPr>
          <w:iCs/>
        </w:rPr>
        <w:t>OR</w:t>
      </w:r>
    </w:p>
    <w:p w14:paraId="69F56BE6" w14:textId="77777777" w:rsidR="00D31435" w:rsidRPr="00D31435" w:rsidRDefault="00D31435" w:rsidP="00D31435">
      <w:pPr>
        <w:pStyle w:val="VLAa"/>
        <w:numPr>
          <w:ilvl w:val="1"/>
          <w:numId w:val="21"/>
        </w:numPr>
        <w:rPr>
          <w:iCs/>
        </w:rPr>
      </w:pPr>
      <w:r w:rsidRPr="00D31435">
        <w:rPr>
          <w:iCs/>
        </w:rPr>
        <w:t>A grant of aid is current pursuant to Table A and the client receives a further charge or charges that fall within the guidelines for assistance.</w:t>
      </w:r>
    </w:p>
    <w:p w14:paraId="07393F3C" w14:textId="77777777" w:rsidR="00D31435" w:rsidRPr="00CA7C01" w:rsidRDefault="00D31435" w:rsidP="00D31435">
      <w:pPr>
        <w:rPr>
          <w:b/>
        </w:rPr>
      </w:pPr>
      <w:r w:rsidRPr="00CA7C01">
        <w:rPr>
          <w:b/>
        </w:rPr>
        <w:t xml:space="preserve">Full details of the charges, or </w:t>
      </w:r>
      <w:bookmarkStart w:id="0" w:name="ReferToChargeSheet"/>
      <w:r w:rsidRPr="00CA7C01">
        <w:rPr>
          <w:b/>
        </w:rPr>
        <w:fldChar w:fldCharType="begin">
          <w:ffData>
            <w:name w:val="ReferToChargeSheet"/>
            <w:enabled/>
            <w:calcOnExit w:val="0"/>
            <w:helpText w:type="text" w:val="Refer to charge sheets/supercase? Yes."/>
            <w:checkBox>
              <w:sizeAuto/>
              <w:default w:val="0"/>
            </w:checkBox>
          </w:ffData>
        </w:fldChar>
      </w:r>
      <w:r w:rsidRPr="00CA7C01">
        <w:rPr>
          <w:b/>
        </w:rPr>
        <w:instrText xml:space="preserve"> FORMCHECKBOX </w:instrText>
      </w:r>
      <w:r w:rsidRPr="00CA7C01">
        <w:rPr>
          <w:b/>
        </w:rPr>
      </w:r>
      <w:r w:rsidRPr="00CA7C01">
        <w:rPr>
          <w:b/>
        </w:rPr>
        <w:fldChar w:fldCharType="end"/>
      </w:r>
      <w:bookmarkEnd w:id="0"/>
      <w:r w:rsidRPr="00CA7C01">
        <w:rPr>
          <w:b/>
        </w:rPr>
        <w:t xml:space="preserve"> REFER TO CHARGE SHEETS/SUPERCASE</w:t>
      </w:r>
    </w:p>
    <w:bookmarkStart w:id="1" w:name="FullChargeDetail"/>
    <w:p w14:paraId="3A3B8AC2" w14:textId="77777777" w:rsidR="00D31435" w:rsidRPr="00CA7C01" w:rsidRDefault="00D31435" w:rsidP="00D31435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FullChargeDetail"/>
            <w:enabled/>
            <w:calcOnExit w:val="0"/>
            <w:helpText w:type="text" w:val="Full details of the charge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 w:rsidRPr="00EB1CB8"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  <w:bookmarkEnd w:id="1"/>
    </w:p>
    <w:bookmarkStart w:id="2" w:name="FurtherMatters"/>
    <w:p w14:paraId="19470387" w14:textId="77777777" w:rsidR="00D31435" w:rsidRPr="00CA7C01" w:rsidRDefault="00D31435" w:rsidP="00D31435">
      <w:r>
        <w:fldChar w:fldCharType="begin">
          <w:ffData>
            <w:name w:val="FurtherMatters"/>
            <w:enabled/>
            <w:calcOnExit w:val="0"/>
            <w:helpText w:type="text" w:val="Further matters to be listed (provide charges &amp; informant details)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"/>
      <w:r>
        <w:t xml:space="preserve"> </w:t>
      </w:r>
      <w:r w:rsidRPr="00CA7C01">
        <w:rPr>
          <w:b/>
        </w:rPr>
        <w:t>Further matters to be listed (provide charges &amp; informant details):</w:t>
      </w:r>
    </w:p>
    <w:bookmarkStart w:id="3" w:name="FurtherMatterDetailB"/>
    <w:bookmarkStart w:id="4" w:name="FurtherMatterDetailA"/>
    <w:p w14:paraId="545F1DB8" w14:textId="77777777" w:rsidR="00D31435" w:rsidRPr="00CA7C01" w:rsidRDefault="00D31435" w:rsidP="00D31435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FurtherMatterDetailA"/>
            <w:enabled/>
            <w:calcOnExit w:val="0"/>
            <w:helpText w:type="text" w:val="Further matters to be listed (provide charges &amp; informant details)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 w:rsidRPr="00EB1CB8"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  <w:bookmarkEnd w:id="4"/>
      <w:r>
        <w:rPr>
          <w:sz w:val="21"/>
          <w:szCs w:val="21"/>
        </w:rPr>
        <w:fldChar w:fldCharType="begin">
          <w:ffData>
            <w:name w:val="FurtherMatterDetailB"/>
            <w:enabled/>
            <w:calcOnExit w:val="0"/>
            <w:helpText w:type="text" w:val="Further matters to be listed (provide charges &amp; informant details) (continued)?"/>
            <w:textInput>
              <w:default w:val="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 w:rsidRPr="00CA7C01"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</w:t>
      </w:r>
      <w:r>
        <w:rPr>
          <w:sz w:val="21"/>
          <w:szCs w:val="21"/>
        </w:rPr>
        <w:fldChar w:fldCharType="end"/>
      </w:r>
      <w:bookmarkEnd w:id="3"/>
    </w:p>
    <w:p w14:paraId="60040737" w14:textId="77777777" w:rsidR="00D31435" w:rsidRPr="00CA7C01" w:rsidRDefault="00D31435" w:rsidP="00D31435">
      <w:pPr>
        <w:rPr>
          <w:b/>
          <w:u w:val="single"/>
        </w:rPr>
      </w:pPr>
      <w:r w:rsidRPr="00CA7C01">
        <w:rPr>
          <w:b/>
          <w:u w:val="single"/>
        </w:rPr>
        <w:t>AND</w:t>
      </w:r>
    </w:p>
    <w:p w14:paraId="1595ADFD" w14:textId="77777777" w:rsidR="00D31435" w:rsidRPr="00CA7C01" w:rsidRDefault="00D31435" w:rsidP="00D31435">
      <w:pPr>
        <w:pStyle w:val="ListBullet"/>
        <w:spacing w:before="0" w:after="120"/>
        <w:rPr>
          <w:b/>
        </w:rPr>
      </w:pPr>
      <w:r w:rsidRPr="00CA7C01">
        <w:rPr>
          <w:b/>
        </w:rPr>
        <w:t>Each set of charges would, if they were the only set of charges, qualify for a grant of assistance under the relevant guideline</w:t>
      </w:r>
    </w:p>
    <w:bookmarkStart w:id="5" w:name="GrantOfAssistA"/>
    <w:p w14:paraId="2A4070B1" w14:textId="77777777" w:rsidR="00D31435" w:rsidRPr="00CA7C01" w:rsidRDefault="00D31435" w:rsidP="00D31435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GrantOfAssistA"/>
            <w:enabled/>
            <w:calcOnExit w:val="0"/>
            <w:helpText w:type="text" w:val="Each set of charges would, if they were the only set of charges, qualify for a grant of assistance under the relevant guideline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 w:rsidRPr="00CA7C01"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  <w:bookmarkStart w:id="6" w:name="GrantOfAssistB"/>
      <w:bookmarkEnd w:id="5"/>
      <w:r>
        <w:rPr>
          <w:sz w:val="21"/>
          <w:szCs w:val="21"/>
        </w:rPr>
        <w:fldChar w:fldCharType="begin">
          <w:ffData>
            <w:name w:val="GrantOfAssistB"/>
            <w:enabled/>
            <w:calcOnExit w:val="0"/>
            <w:helpText w:type="text" w:val="Each set of charges would, if they were the only set of charges, qualify for a grant of assistance under the relevant guideline (continued)?"/>
            <w:textInput>
              <w:default w:val="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 w:rsidRPr="00CA7C01"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</w:t>
      </w:r>
      <w:r>
        <w:rPr>
          <w:sz w:val="21"/>
          <w:szCs w:val="21"/>
        </w:rPr>
        <w:fldChar w:fldCharType="end"/>
      </w:r>
      <w:bookmarkEnd w:id="6"/>
    </w:p>
    <w:p w14:paraId="05300F78" w14:textId="77777777" w:rsidR="00D31435" w:rsidRPr="00CA7C01" w:rsidRDefault="00D31435" w:rsidP="00D31435">
      <w:pPr>
        <w:pStyle w:val="Heading1"/>
      </w:pPr>
      <w:r w:rsidRPr="00CA7C01">
        <w:t>Traffic prosecutions worksheet</w:t>
      </w:r>
    </w:p>
    <w:p w14:paraId="1FCE27EB" w14:textId="77777777" w:rsidR="00D31435" w:rsidRPr="00EB1CB8" w:rsidRDefault="00D31435" w:rsidP="00D31435">
      <w:pPr>
        <w:rPr>
          <w:b/>
        </w:rPr>
      </w:pPr>
      <w:r w:rsidRPr="00EB1CB8">
        <w:rPr>
          <w:b/>
        </w:rPr>
        <w:t>Guideline 2 in Part 3 of the VLA Handbook. Notes on Guidelines 4.1.4</w:t>
      </w:r>
    </w:p>
    <w:p w14:paraId="42DE1420" w14:textId="77777777" w:rsidR="00D31435" w:rsidRPr="00EB1CB8" w:rsidRDefault="00D31435" w:rsidP="00D31435">
      <w:pPr>
        <w:rPr>
          <w:b/>
        </w:rPr>
      </w:pPr>
      <w:r w:rsidRPr="00EB1CB8">
        <w:rPr>
          <w:b/>
        </w:rPr>
        <w:t xml:space="preserve">This guideline applies </w:t>
      </w:r>
      <w:r w:rsidRPr="00EB1CB8">
        <w:rPr>
          <w:b/>
          <w:i/>
          <w:u w:val="single"/>
        </w:rPr>
        <w:t>regardless</w:t>
      </w:r>
      <w:r w:rsidRPr="00EB1CB8">
        <w:rPr>
          <w:b/>
        </w:rPr>
        <w:t xml:space="preserve"> of the applicant’s plea of Guilty or Not Guilty</w:t>
      </w:r>
    </w:p>
    <w:p w14:paraId="5CB6DA7A" w14:textId="77777777" w:rsidR="00D31435" w:rsidRPr="00EB1CB8" w:rsidRDefault="00D31435" w:rsidP="00D31435">
      <w:r w:rsidRPr="00EB1CB8">
        <w:t>Before recommending assistance be granted for a traffic prosecution matter the practitioner must:</w:t>
      </w:r>
    </w:p>
    <w:p w14:paraId="6DE865C4" w14:textId="77777777" w:rsidR="00D31435" w:rsidRPr="00EB1CB8" w:rsidRDefault="00D31435" w:rsidP="00D31435">
      <w:pPr>
        <w:pStyle w:val="ListBullet"/>
        <w:spacing w:before="0" w:after="120"/>
      </w:pPr>
      <w:r w:rsidRPr="00EB1CB8">
        <w:t xml:space="preserve">Confirm that the applicant is an eligible person registered under the Disability Act 2006 or receiving services from an approved mental health service under the Mental Health Act 1986 </w:t>
      </w:r>
      <w:r w:rsidRPr="00EB1CB8">
        <w:rPr>
          <w:b/>
        </w:rPr>
        <w:t>and</w:t>
      </w:r>
    </w:p>
    <w:p w14:paraId="0794FC2E" w14:textId="77777777" w:rsidR="00D31435" w:rsidRPr="00EB1CB8" w:rsidRDefault="00D31435" w:rsidP="00D31435">
      <w:pPr>
        <w:pStyle w:val="ListBullet"/>
        <w:spacing w:before="0" w:after="120"/>
      </w:pPr>
      <w:r w:rsidRPr="00EB1CB8">
        <w:t>Form the view that conviction is likely to result in:</w:t>
      </w:r>
    </w:p>
    <w:p w14:paraId="799B1A71" w14:textId="77777777" w:rsidR="00D31435" w:rsidRPr="00EB1CB8" w:rsidRDefault="00D31435" w:rsidP="00D31435">
      <w:pPr>
        <w:pStyle w:val="VLAa"/>
        <w:numPr>
          <w:ilvl w:val="1"/>
          <w:numId w:val="25"/>
        </w:numPr>
        <w:ind w:firstLine="56"/>
      </w:pPr>
      <w:r w:rsidRPr="00EB1CB8">
        <w:t>imprisonment; or</w:t>
      </w:r>
    </w:p>
    <w:p w14:paraId="4E5267EC" w14:textId="77777777" w:rsidR="00D31435" w:rsidRPr="00EB1CB8" w:rsidRDefault="00D31435" w:rsidP="00D31435">
      <w:pPr>
        <w:pStyle w:val="VLAa"/>
        <w:numPr>
          <w:ilvl w:val="1"/>
          <w:numId w:val="21"/>
        </w:numPr>
        <w:ind w:firstLine="56"/>
      </w:pPr>
      <w:r w:rsidRPr="00EB1CB8">
        <w:t>a suspended term of imprisonment.</w:t>
      </w:r>
    </w:p>
    <w:p w14:paraId="4A69A0C6" w14:textId="77777777" w:rsidR="00D31435" w:rsidRPr="00EB1CB8" w:rsidRDefault="00D31435" w:rsidP="00D31435">
      <w:r w:rsidRPr="00EB1CB8">
        <w:t>The State special circumstances guideline does not apply to traffic matters.</w:t>
      </w:r>
    </w:p>
    <w:bookmarkStart w:id="7" w:name="DisabilityProof"/>
    <w:p w14:paraId="5149B62D" w14:textId="77777777" w:rsidR="00D31435" w:rsidRPr="00EB1CB8" w:rsidRDefault="00D31435" w:rsidP="00D31435">
      <w:r>
        <w:fldChar w:fldCharType="begin">
          <w:ffData>
            <w:name w:val="DisabilityProof"/>
            <w:enabled/>
            <w:calcOnExit w:val="0"/>
            <w:helpText w:type="text" w:val="Proof of psychiatric, intellectual disability or an acquired brain injury on file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7"/>
      <w:r>
        <w:t xml:space="preserve"> </w:t>
      </w:r>
      <w:r w:rsidRPr="00EB1CB8">
        <w:rPr>
          <w:b/>
        </w:rPr>
        <w:t>Proof of psychiatric, intellectual disability or an acquired brain injury on file</w:t>
      </w:r>
    </w:p>
    <w:p w14:paraId="13DECBEB" w14:textId="77777777" w:rsidR="00D31435" w:rsidRPr="005B0A8C" w:rsidRDefault="00D31435" w:rsidP="00D31435">
      <w:pPr>
        <w:pStyle w:val="ListBullet"/>
        <w:spacing w:before="0" w:after="120"/>
        <w:rPr>
          <w:b/>
        </w:rPr>
      </w:pPr>
      <w:r w:rsidRPr="005B0A8C">
        <w:rPr>
          <w:b/>
        </w:rPr>
        <w:lastRenderedPageBreak/>
        <w:t xml:space="preserve">Full details of the charges, or </w:t>
      </w:r>
      <w:bookmarkStart w:id="8" w:name="ReferToChargeSheet2"/>
      <w:r w:rsidRPr="005B0A8C">
        <w:rPr>
          <w:b/>
        </w:rPr>
        <w:fldChar w:fldCharType="begin">
          <w:ffData>
            <w:name w:val="ReferToChargeSheet2"/>
            <w:enabled/>
            <w:calcOnExit w:val="0"/>
            <w:helpText w:type="text" w:val="Refer to charge sheets? Yes."/>
            <w:checkBox>
              <w:sizeAuto/>
              <w:default w:val="0"/>
            </w:checkBox>
          </w:ffData>
        </w:fldChar>
      </w:r>
      <w:r w:rsidRPr="005B0A8C">
        <w:rPr>
          <w:b/>
        </w:rPr>
        <w:instrText xml:space="preserve"> FORMCHECKBOX </w:instrText>
      </w:r>
      <w:r w:rsidRPr="005B0A8C">
        <w:rPr>
          <w:b/>
        </w:rPr>
      </w:r>
      <w:r w:rsidRPr="005B0A8C">
        <w:rPr>
          <w:b/>
        </w:rPr>
        <w:fldChar w:fldCharType="end"/>
      </w:r>
      <w:bookmarkEnd w:id="8"/>
      <w:r w:rsidRPr="005B0A8C">
        <w:rPr>
          <w:b/>
        </w:rPr>
        <w:t xml:space="preserve"> REFER TO CHARGE SHEETS</w:t>
      </w:r>
    </w:p>
    <w:bookmarkStart w:id="9" w:name="FullChargeDetail2"/>
    <w:p w14:paraId="6541BB9A" w14:textId="77777777" w:rsidR="00D31435" w:rsidRPr="00EB1CB8" w:rsidRDefault="00D31435" w:rsidP="00D31435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FullChargeDetail2"/>
            <w:enabled/>
            <w:calcOnExit w:val="0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 w:rsidRPr="00CA4186"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  <w:bookmarkEnd w:id="9"/>
    </w:p>
    <w:p w14:paraId="25C6FCDB" w14:textId="77777777" w:rsidR="00D31435" w:rsidRPr="005B0A8C" w:rsidRDefault="00D31435" w:rsidP="00D31435">
      <w:pPr>
        <w:pStyle w:val="ListBullet"/>
        <w:spacing w:before="0" w:after="120"/>
        <w:rPr>
          <w:b/>
        </w:rPr>
      </w:pPr>
      <w:r w:rsidRPr="005B0A8C">
        <w:rPr>
          <w:b/>
        </w:rPr>
        <w:t xml:space="preserve">Full details of relevant prior convictions, or </w:t>
      </w:r>
      <w:bookmarkStart w:id="10" w:name="ReferToFileCopy"/>
      <w:r w:rsidRPr="005B0A8C">
        <w:rPr>
          <w:b/>
        </w:rPr>
        <w:fldChar w:fldCharType="begin">
          <w:ffData>
            <w:name w:val="ReferToFileCopy"/>
            <w:enabled/>
            <w:calcOnExit w:val="0"/>
            <w:helpText w:type="text" w:val="Refer to file copy of priors? Yes."/>
            <w:checkBox>
              <w:sizeAuto/>
              <w:default w:val="0"/>
            </w:checkBox>
          </w:ffData>
        </w:fldChar>
      </w:r>
      <w:r w:rsidRPr="005B0A8C">
        <w:rPr>
          <w:b/>
        </w:rPr>
        <w:instrText xml:space="preserve"> FORMCHECKBOX </w:instrText>
      </w:r>
      <w:r w:rsidRPr="005B0A8C">
        <w:rPr>
          <w:b/>
        </w:rPr>
      </w:r>
      <w:r w:rsidRPr="005B0A8C">
        <w:rPr>
          <w:b/>
        </w:rPr>
        <w:fldChar w:fldCharType="end"/>
      </w:r>
      <w:bookmarkEnd w:id="10"/>
      <w:r w:rsidRPr="005B0A8C">
        <w:rPr>
          <w:b/>
        </w:rPr>
        <w:t xml:space="preserve"> REFER TO FILE COPY OF PRIORS</w:t>
      </w:r>
    </w:p>
    <w:bookmarkStart w:id="11" w:name="PriorConvictions"/>
    <w:p w14:paraId="5DDF2557" w14:textId="77777777" w:rsidR="00D31435" w:rsidRPr="00EB1CB8" w:rsidRDefault="00D31435" w:rsidP="00D31435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PriorConvictions"/>
            <w:enabled/>
            <w:calcOnExit w:val="0"/>
            <w:helpText w:type="text" w:val="Full details of relevant prior conviction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 w:rsidRPr="00EB1CB8"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  <w:bookmarkEnd w:id="11"/>
    </w:p>
    <w:p w14:paraId="54A854E5" w14:textId="77777777" w:rsidR="00D31435" w:rsidRPr="005B0A8C" w:rsidRDefault="00D31435" w:rsidP="00D31435">
      <w:pPr>
        <w:pStyle w:val="ListBullet"/>
        <w:spacing w:before="0" w:after="120"/>
        <w:rPr>
          <w:b/>
        </w:rPr>
      </w:pPr>
      <w:r w:rsidRPr="005B0A8C">
        <w:rPr>
          <w:b/>
        </w:rPr>
        <w:t>Assessment of Likely Penalty</w:t>
      </w:r>
    </w:p>
    <w:bookmarkStart w:id="12" w:name="LikelyPenaltyAssess"/>
    <w:p w14:paraId="58CDAA4F" w14:textId="77777777" w:rsidR="00D31435" w:rsidRPr="00B860A6" w:rsidRDefault="00D31435" w:rsidP="00D31435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LikelyPenaltyAssess"/>
            <w:enabled/>
            <w:calcOnExit w:val="0"/>
            <w:helpText w:type="text" w:val="Assessment of Likely Penalty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 w:rsidRPr="00EB1CB8"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  <w:bookmarkEnd w:id="12"/>
    </w:p>
    <w:p w14:paraId="650B7FB9" w14:textId="77777777" w:rsidR="00D31435" w:rsidRPr="005B0A8C" w:rsidRDefault="00D31435" w:rsidP="00D31435">
      <w:pPr>
        <w:pStyle w:val="Heading1"/>
      </w:pPr>
      <w:r w:rsidRPr="005B0A8C">
        <w:t>Bail applications worksheet</w:t>
      </w:r>
    </w:p>
    <w:p w14:paraId="052FD30C" w14:textId="77777777" w:rsidR="00D31435" w:rsidRPr="005B0A8C" w:rsidRDefault="00D31435" w:rsidP="00D31435">
      <w:pPr>
        <w:rPr>
          <w:b/>
        </w:rPr>
      </w:pPr>
      <w:r w:rsidRPr="005B0A8C">
        <w:rPr>
          <w:b/>
        </w:rPr>
        <w:t xml:space="preserve">Guideline 6 of Part 3 of the VLA Handbook. </w:t>
      </w:r>
    </w:p>
    <w:p w14:paraId="16C029FC" w14:textId="77777777" w:rsidR="00D31435" w:rsidRPr="005B0A8C" w:rsidRDefault="00D31435" w:rsidP="00D31435">
      <w:r w:rsidRPr="005B0A8C">
        <w:t xml:space="preserve">Before recommending that assistance be granted for a bail application in the </w:t>
      </w:r>
      <w:r>
        <w:t xml:space="preserve">Children’s </w:t>
      </w:r>
      <w:r w:rsidRPr="005B0A8C">
        <w:t>Magistrates’</w:t>
      </w:r>
      <w:r>
        <w:t>, County or Supreme</w:t>
      </w:r>
      <w:r w:rsidRPr="005B0A8C">
        <w:t xml:space="preserve"> Court, practitioners MUST form the view that there is a</w:t>
      </w:r>
      <w:r>
        <w:t xml:space="preserve"> </w:t>
      </w:r>
      <w:r>
        <w:rPr>
          <w:u w:val="single"/>
        </w:rPr>
        <w:t>reasonable basis for the bail application</w:t>
      </w:r>
      <w:r>
        <w:t>, noting that VLA considers there is always a reasonable basis for a bail application where the accused is a child and/or an Aboriginal or Torres Strait Islander person.</w:t>
      </w:r>
    </w:p>
    <w:p w14:paraId="65176BFB" w14:textId="77777777" w:rsidR="00D31435" w:rsidRPr="005B0A8C" w:rsidRDefault="00D31435" w:rsidP="00D31435">
      <w:pPr>
        <w:pStyle w:val="ListBullet"/>
        <w:spacing w:before="0" w:after="120"/>
        <w:rPr>
          <w:b/>
        </w:rPr>
      </w:pPr>
      <w:r w:rsidRPr="005B0A8C">
        <w:rPr>
          <w:b/>
        </w:rPr>
        <w:t xml:space="preserve">Full details of the charges, or </w:t>
      </w:r>
      <w:bookmarkStart w:id="13" w:name="ReferToChargeSheet3"/>
      <w:r>
        <w:rPr>
          <w:b/>
        </w:rPr>
        <w:fldChar w:fldCharType="begin">
          <w:ffData>
            <w:name w:val="ReferToChargeSheet3"/>
            <w:enabled/>
            <w:calcOnExit w:val="0"/>
            <w:helpText w:type="text" w:val="Refer to charge sheets? Yes."/>
            <w:checkBox>
              <w:sizeAuto/>
              <w:default w:val="0"/>
            </w:checkBox>
          </w:ffData>
        </w:fldChar>
      </w:r>
      <w:r>
        <w:rPr>
          <w:b/>
        </w:rPr>
        <w:instrText xml:space="preserve"> FORMCHECKBOX </w:instrText>
      </w:r>
      <w:r w:rsidRPr="005B0A8C">
        <w:rPr>
          <w:b/>
        </w:rPr>
      </w:r>
      <w:r>
        <w:rPr>
          <w:b/>
        </w:rPr>
        <w:fldChar w:fldCharType="end"/>
      </w:r>
      <w:bookmarkEnd w:id="13"/>
      <w:r>
        <w:rPr>
          <w:b/>
        </w:rPr>
        <w:t xml:space="preserve"> </w:t>
      </w:r>
      <w:r w:rsidRPr="005B0A8C">
        <w:rPr>
          <w:b/>
        </w:rPr>
        <w:t>REFER TO CHARGE SHEETS</w:t>
      </w:r>
    </w:p>
    <w:bookmarkStart w:id="14" w:name="FullChargeDetails3"/>
    <w:p w14:paraId="4E96684E" w14:textId="77777777" w:rsidR="00D31435" w:rsidRPr="005B0A8C" w:rsidRDefault="00D31435" w:rsidP="00D31435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FullChargeDetails3"/>
            <w:enabled/>
            <w:calcOnExit w:val="0"/>
            <w:helpText w:type="text" w:val="Full details of the charge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 w:rsidRPr="00CA4186"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  <w:bookmarkEnd w:id="14"/>
    </w:p>
    <w:p w14:paraId="7B2C564B" w14:textId="77777777" w:rsidR="00D31435" w:rsidRPr="005B0A8C" w:rsidRDefault="00D31435" w:rsidP="00D31435">
      <w:pPr>
        <w:pStyle w:val="ListBullet"/>
        <w:spacing w:before="0" w:after="120"/>
        <w:rPr>
          <w:b/>
        </w:rPr>
      </w:pPr>
      <w:r w:rsidRPr="005B0A8C">
        <w:rPr>
          <w:b/>
        </w:rPr>
        <w:t xml:space="preserve">The </w:t>
      </w:r>
      <w:r>
        <w:rPr>
          <w:b/>
        </w:rPr>
        <w:t>g</w:t>
      </w:r>
      <w:r w:rsidRPr="005B0A8C">
        <w:rPr>
          <w:b/>
        </w:rPr>
        <w:t xml:space="preserve">rounds </w:t>
      </w:r>
      <w:r>
        <w:rPr>
          <w:b/>
        </w:rPr>
        <w:t>and</w:t>
      </w:r>
      <w:r w:rsidRPr="005B0A8C">
        <w:rPr>
          <w:b/>
        </w:rPr>
        <w:t xml:space="preserve"> </w:t>
      </w:r>
      <w:r>
        <w:rPr>
          <w:b/>
        </w:rPr>
        <w:t>s</w:t>
      </w:r>
      <w:r w:rsidRPr="005B0A8C">
        <w:rPr>
          <w:b/>
        </w:rPr>
        <w:t>trengths relied upon in support of the application</w:t>
      </w:r>
      <w:r>
        <w:rPr>
          <w:b/>
        </w:rPr>
        <w:t xml:space="preserve"> and practitioner’s assessment of the personal circumstances of the applicant</w:t>
      </w:r>
      <w:r w:rsidRPr="005B0A8C">
        <w:rPr>
          <w:b/>
        </w:rPr>
        <w:t>: For example:</w:t>
      </w:r>
    </w:p>
    <w:bookmarkStart w:id="15" w:name="NoFailToAppear"/>
    <w:p w14:paraId="6EF772E7" w14:textId="77777777" w:rsidR="00D31435" w:rsidRPr="005B0A8C" w:rsidRDefault="00D31435" w:rsidP="00D31435">
      <w:r>
        <w:fldChar w:fldCharType="begin">
          <w:ffData>
            <w:name w:val="NoFailToAppear"/>
            <w:enabled/>
            <w:calcOnExit w:val="0"/>
            <w:helpText w:type="text" w:val="No fail to appear priors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5"/>
      <w:r>
        <w:t xml:space="preserve"> </w:t>
      </w:r>
      <w:r w:rsidRPr="005B0A8C">
        <w:t xml:space="preserve">No fail to appear priors </w:t>
      </w:r>
      <w:r>
        <w:tab/>
      </w:r>
      <w:r>
        <w:tab/>
      </w:r>
      <w:r>
        <w:tab/>
      </w:r>
      <w:bookmarkStart w:id="16" w:name="SupportedAccomm"/>
      <w:r>
        <w:fldChar w:fldCharType="begin">
          <w:ffData>
            <w:name w:val="SupportedAccomm"/>
            <w:enabled/>
            <w:calcOnExit w:val="0"/>
            <w:helpText w:type="text" w:val="Supported accommodation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6"/>
      <w:r>
        <w:t xml:space="preserve"> </w:t>
      </w:r>
      <w:r w:rsidRPr="005B0A8C">
        <w:t>Supported accommodation</w:t>
      </w:r>
    </w:p>
    <w:bookmarkStart w:id="17" w:name="RehabDrugAlcohol"/>
    <w:p w14:paraId="26000B45" w14:textId="77777777" w:rsidR="00D31435" w:rsidRPr="005B0A8C" w:rsidRDefault="00D31435" w:rsidP="00D31435">
      <w:r>
        <w:fldChar w:fldCharType="begin">
          <w:ffData>
            <w:name w:val="RehabDrugAlcohol"/>
            <w:enabled/>
            <w:calcOnExit w:val="0"/>
            <w:helpText w:type="text" w:val="Rehab/drug/alcohol/detox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7"/>
      <w:r>
        <w:t xml:space="preserve"> </w:t>
      </w:r>
      <w:r w:rsidRPr="005B0A8C">
        <w:t>Rehab/drug/alcohol/detox</w:t>
      </w:r>
      <w:r>
        <w:tab/>
      </w:r>
      <w:r>
        <w:tab/>
      </w:r>
      <w:r>
        <w:tab/>
      </w:r>
      <w:bookmarkStart w:id="18" w:name="SupportWorkers"/>
      <w:r>
        <w:fldChar w:fldCharType="begin">
          <w:ffData>
            <w:name w:val="SupportWorkers"/>
            <w:enabled/>
            <w:calcOnExit w:val="0"/>
            <w:helpText w:type="text" w:val="Support workers/references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8"/>
      <w:r>
        <w:t xml:space="preserve"> </w:t>
      </w:r>
      <w:r w:rsidRPr="005B0A8C">
        <w:t>Support workers/references</w:t>
      </w:r>
    </w:p>
    <w:bookmarkStart w:id="19" w:name="StableAccomm"/>
    <w:bookmarkStart w:id="20" w:name="_Hlk108190752"/>
    <w:p w14:paraId="6ABD1993" w14:textId="77777777" w:rsidR="00D31435" w:rsidRDefault="00D31435" w:rsidP="00D31435">
      <w:r>
        <w:fldChar w:fldCharType="begin">
          <w:ffData>
            <w:name w:val="StableAccomm"/>
            <w:enabled/>
            <w:calcOnExit w:val="0"/>
            <w:helpText w:type="text" w:val="Stable accommodation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9"/>
      <w:r>
        <w:t xml:space="preserve"> </w:t>
      </w:r>
      <w:r w:rsidRPr="005B0A8C">
        <w:t>Stable accommodation</w:t>
      </w:r>
      <w:bookmarkEnd w:id="20"/>
      <w:r>
        <w:tab/>
      </w:r>
      <w:r>
        <w:tab/>
      </w:r>
      <w:r>
        <w:tab/>
      </w:r>
      <w:bookmarkStart w:id="21" w:name="Other"/>
      <w:r>
        <w:fldChar w:fldCharType="begin">
          <w:ffData>
            <w:name w:val="Other"/>
            <w:enabled/>
            <w:calcOnExit w:val="0"/>
            <w:helpText w:type="text" w:val="Other references? Yes.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21"/>
      <w:r>
        <w:t xml:space="preserve"> Other references</w:t>
      </w:r>
    </w:p>
    <w:p w14:paraId="738B0F7D" w14:textId="77777777" w:rsidR="00D31435" w:rsidRDefault="00D31435" w:rsidP="00D31435">
      <w:r w:rsidRPr="00564F7F">
        <w:fldChar w:fldCharType="begin">
          <w:ffData>
            <w:name w:val="StableAccomm"/>
            <w:enabled/>
            <w:calcOnExit w:val="0"/>
            <w:helpText w:type="text" w:val="Stable accommodation? Yes."/>
            <w:checkBox>
              <w:sizeAuto/>
              <w:default w:val="0"/>
            </w:checkBox>
          </w:ffData>
        </w:fldChar>
      </w:r>
      <w:r w:rsidRPr="00564F7F">
        <w:instrText xml:space="preserve"> FORMCHECKBOX </w:instrText>
      </w:r>
      <w:r w:rsidRPr="00564F7F">
        <w:fldChar w:fldCharType="end"/>
      </w:r>
      <w:r w:rsidRPr="00564F7F">
        <w:t xml:space="preserve"> </w:t>
      </w:r>
      <w:r>
        <w:t>Likely to spend longer on remand than they would receive as a sentence for imprisonment of the underlying offending</w:t>
      </w:r>
    </w:p>
    <w:p w14:paraId="38DE2E9D" w14:textId="77777777" w:rsidR="00D31435" w:rsidRDefault="00D31435" w:rsidP="00D31435">
      <w:r w:rsidRPr="00564F7F">
        <w:fldChar w:fldCharType="begin">
          <w:ffData>
            <w:name w:val="StableAccomm"/>
            <w:enabled/>
            <w:calcOnExit w:val="0"/>
            <w:helpText w:type="text" w:val="Stable accommodation? Yes."/>
            <w:checkBox>
              <w:sizeAuto/>
              <w:default w:val="0"/>
            </w:checkBox>
          </w:ffData>
        </w:fldChar>
      </w:r>
      <w:r w:rsidRPr="00564F7F">
        <w:instrText xml:space="preserve"> FORMCHECKBOX </w:instrText>
      </w:r>
      <w:r w:rsidRPr="00564F7F">
        <w:fldChar w:fldCharType="end"/>
      </w:r>
      <w:r w:rsidRPr="00564F7F">
        <w:t xml:space="preserve"> </w:t>
      </w:r>
      <w:r>
        <w:t>Applicant is a child</w:t>
      </w:r>
      <w:r>
        <w:tab/>
        <w:t>(outline relevant s3B factors below)</w:t>
      </w:r>
      <w:r>
        <w:tab/>
      </w:r>
      <w:r>
        <w:tab/>
      </w:r>
    </w:p>
    <w:p w14:paraId="3EAF0EC8" w14:textId="77777777" w:rsidR="00D31435" w:rsidRPr="005B0A8C" w:rsidRDefault="00D31435" w:rsidP="00D31435">
      <w:r w:rsidRPr="00564F7F">
        <w:fldChar w:fldCharType="begin">
          <w:ffData>
            <w:name w:val="StableAccomm"/>
            <w:enabled/>
            <w:calcOnExit w:val="0"/>
            <w:helpText w:type="text" w:val="Stable accommodation? Yes."/>
            <w:checkBox>
              <w:sizeAuto/>
              <w:default w:val="0"/>
            </w:checkBox>
          </w:ffData>
        </w:fldChar>
      </w:r>
      <w:r w:rsidRPr="00564F7F">
        <w:instrText xml:space="preserve"> FORMCHECKBOX </w:instrText>
      </w:r>
      <w:r w:rsidRPr="00564F7F">
        <w:fldChar w:fldCharType="end"/>
      </w:r>
      <w:r w:rsidRPr="00564F7F">
        <w:t xml:space="preserve"> </w:t>
      </w:r>
      <w:r>
        <w:t>Applicant is an Aboriginal and/or Torres Strait Islander person (outline relevant s3A factors below)</w:t>
      </w:r>
    </w:p>
    <w:p w14:paraId="5CD6EF03" w14:textId="77777777" w:rsidR="00D31435" w:rsidRDefault="00D31435" w:rsidP="00D31435">
      <w:pPr>
        <w:rPr>
          <w:b/>
        </w:rPr>
      </w:pPr>
    </w:p>
    <w:p w14:paraId="3C9C368F" w14:textId="77777777" w:rsidR="00D31435" w:rsidRPr="005B0A8C" w:rsidRDefault="00D31435" w:rsidP="00D31435">
      <w:pPr>
        <w:rPr>
          <w:b/>
        </w:rPr>
      </w:pPr>
      <w:r w:rsidRPr="005B0A8C">
        <w:rPr>
          <w:b/>
        </w:rPr>
        <w:t>Comments</w:t>
      </w:r>
      <w:r>
        <w:rPr>
          <w:b/>
        </w:rPr>
        <w:t xml:space="preserve"> (with reference to sections 3AAA, 3A and 3B)</w:t>
      </w:r>
      <w:r w:rsidRPr="005B0A8C">
        <w:rPr>
          <w:b/>
        </w:rPr>
        <w:t>:</w:t>
      </w:r>
    </w:p>
    <w:bookmarkStart w:id="22" w:name="StrengthsComments"/>
    <w:p w14:paraId="4FE5D813" w14:textId="77777777" w:rsidR="00D31435" w:rsidRPr="005B0A8C" w:rsidRDefault="00D31435" w:rsidP="00D31435">
      <w:pPr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StrengthsComments"/>
            <w:enabled/>
            <w:calcOnExit w:val="0"/>
            <w:helpText w:type="text" w:val="Comments?"/>
            <w:textInput>
              <w:default w:val="_________________________________________________________________________________________________________________________________________________________________________________________________________________________________________________________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 w:rsidRPr="005B0A8C"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1"/>
          <w:szCs w:val="21"/>
        </w:rPr>
        <w:fldChar w:fldCharType="end"/>
      </w:r>
      <w:bookmarkEnd w:id="22"/>
    </w:p>
    <w:p w14:paraId="2DD62EF4" w14:textId="71712ACA" w:rsidR="00461300" w:rsidRPr="000A2FBE" w:rsidRDefault="00FB23BC" w:rsidP="00D31435">
      <w:pPr>
        <w:pStyle w:val="ListBullet"/>
        <w:numPr>
          <w:ilvl w:val="0"/>
          <w:numId w:val="0"/>
        </w:numPr>
      </w:pPr>
      <w:r w:rsidRPr="000A2FBE">
        <w:t xml:space="preserve"> </w:t>
      </w:r>
    </w:p>
    <w:sectPr w:rsidR="00461300" w:rsidRPr="000A2FBE" w:rsidSect="008C55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6CA41" w14:textId="77777777" w:rsidR="00D31435" w:rsidRDefault="00D31435">
      <w:pPr>
        <w:spacing w:after="0" w:line="240" w:lineRule="auto"/>
      </w:pPr>
      <w:r>
        <w:separator/>
      </w:r>
    </w:p>
  </w:endnote>
  <w:endnote w:type="continuationSeparator" w:id="0">
    <w:p w14:paraId="03B22D87" w14:textId="77777777" w:rsidR="00D31435" w:rsidRDefault="00D31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6EB14" w14:textId="77777777" w:rsidR="00BB122F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25460A" w14:textId="77777777" w:rsidR="00BB122F" w:rsidRDefault="00826216" w:rsidP="008074B3">
    <w:pPr>
      <w:pStyle w:val="Footer"/>
      <w:ind w:right="360" w:firstLine="360"/>
    </w:pPr>
  </w:p>
  <w:p w14:paraId="19FCDD6E" w14:textId="77777777" w:rsidR="00BB122F" w:rsidRDefault="0082621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FB1D8" w14:textId="77777777" w:rsidR="00BB122F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6553AB3" wp14:editId="5EB9B20D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980A1E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CBCE" w14:textId="77777777" w:rsidR="00BB122F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1EBD343" wp14:editId="5F1497EA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94C489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424FB" w14:textId="77777777" w:rsidR="00D31435" w:rsidRDefault="00D31435">
      <w:pPr>
        <w:spacing w:after="0" w:line="240" w:lineRule="auto"/>
      </w:pPr>
      <w:r>
        <w:separator/>
      </w:r>
    </w:p>
  </w:footnote>
  <w:footnote w:type="continuationSeparator" w:id="0">
    <w:p w14:paraId="7FA2ADE2" w14:textId="77777777" w:rsidR="00D31435" w:rsidRDefault="00D31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D5A6" w14:textId="77777777" w:rsidR="00BB122F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1082542" w14:textId="77777777" w:rsidR="00BB122F" w:rsidRDefault="00826216" w:rsidP="00091AFC">
    <w:pPr>
      <w:pStyle w:val="Header"/>
      <w:ind w:right="360"/>
    </w:pPr>
  </w:p>
  <w:p w14:paraId="608A3AA7" w14:textId="77777777" w:rsidR="00BB122F" w:rsidRDefault="0082621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D691" w14:textId="77777777" w:rsidR="00BB122F" w:rsidRPr="006A6FC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0716579D" w14:textId="1C086C37" w:rsidR="00BB122F" w:rsidRPr="00EF7C5C" w:rsidRDefault="00826216" w:rsidP="00EF7C5C">
    <w:pPr>
      <w:spacing w:line="240" w:lineRule="auto"/>
      <w:ind w:left="-330"/>
      <w:rPr>
        <w:rFonts w:ascii="Arial Bold" w:hAnsi="Arial Bold" w:cs="Arial"/>
        <w:color w:val="B1005D"/>
      </w:rPr>
    </w:pPr>
    <w:r w:rsidRPr="00826216">
      <w:rPr>
        <w:rFonts w:ascii="Arial Bold" w:hAnsi="Arial Bold" w:cs="Arial"/>
        <w:b/>
        <w:color w:val="B1005D"/>
        <w:sz w:val="18"/>
        <w:szCs w:val="18"/>
      </w:rPr>
      <w:t>Worksheets – consolidation of criminal charges; traffic prosecutions; bail applications</w:t>
    </w:r>
    <w:r w:rsidR="00C8737B">
      <w:rPr>
        <w:rFonts w:ascii="Arial Bold" w:hAnsi="Arial Bold" w:cs="Arial"/>
        <w:b/>
        <w:noProof/>
        <w:color w:val="B1005D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4345D557" wp14:editId="691644AB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8AE35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" strokecolor="#b1005d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569A" w14:textId="77777777" w:rsidR="00BB122F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14F09270" wp14:editId="6C2E93DF">
          <wp:simplePos x="0" y="0"/>
          <wp:positionH relativeFrom="column">
            <wp:posOffset>-389129</wp:posOffset>
          </wp:positionH>
          <wp:positionV relativeFrom="paragraph">
            <wp:posOffset>-3359</wp:posOffset>
          </wp:positionV>
          <wp:extent cx="7199983" cy="1257140"/>
          <wp:effectExtent l="0" t="0" r="1270" b="63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9983" cy="12571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260F9D" w14:textId="77777777" w:rsidR="00BB122F" w:rsidRPr="00D82005" w:rsidRDefault="00826216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45922636">
    <w:abstractNumId w:val="12"/>
  </w:num>
  <w:num w:numId="2" w16cid:durableId="1264218588">
    <w:abstractNumId w:val="9"/>
  </w:num>
  <w:num w:numId="3" w16cid:durableId="127474775">
    <w:abstractNumId w:val="10"/>
  </w:num>
  <w:num w:numId="4" w16cid:durableId="626669465">
    <w:abstractNumId w:val="7"/>
  </w:num>
  <w:num w:numId="5" w16cid:durableId="1085034242">
    <w:abstractNumId w:val="14"/>
  </w:num>
  <w:num w:numId="6" w16cid:durableId="1252471855">
    <w:abstractNumId w:val="6"/>
  </w:num>
  <w:num w:numId="7" w16cid:durableId="1864203451">
    <w:abstractNumId w:val="14"/>
  </w:num>
  <w:num w:numId="8" w16cid:durableId="1632781432">
    <w:abstractNumId w:val="5"/>
  </w:num>
  <w:num w:numId="9" w16cid:durableId="1078402038">
    <w:abstractNumId w:val="4"/>
  </w:num>
  <w:num w:numId="10" w16cid:durableId="2103794404">
    <w:abstractNumId w:val="4"/>
  </w:num>
  <w:num w:numId="11" w16cid:durableId="450561965">
    <w:abstractNumId w:val="8"/>
  </w:num>
  <w:num w:numId="12" w16cid:durableId="1322000131">
    <w:abstractNumId w:val="8"/>
  </w:num>
  <w:num w:numId="13" w16cid:durableId="2120491117">
    <w:abstractNumId w:val="3"/>
  </w:num>
  <w:num w:numId="14" w16cid:durableId="385493210">
    <w:abstractNumId w:val="3"/>
  </w:num>
  <w:num w:numId="15" w16cid:durableId="296030604">
    <w:abstractNumId w:val="2"/>
  </w:num>
  <w:num w:numId="16" w16cid:durableId="959069666">
    <w:abstractNumId w:val="2"/>
  </w:num>
  <w:num w:numId="17" w16cid:durableId="1193227216">
    <w:abstractNumId w:val="1"/>
  </w:num>
  <w:num w:numId="18" w16cid:durableId="25764409">
    <w:abstractNumId w:val="1"/>
  </w:num>
  <w:num w:numId="19" w16cid:durableId="128596846">
    <w:abstractNumId w:val="0"/>
  </w:num>
  <w:num w:numId="20" w16cid:durableId="402334948">
    <w:abstractNumId w:val="0"/>
  </w:num>
  <w:num w:numId="21" w16cid:durableId="1498499657">
    <w:abstractNumId w:val="13"/>
  </w:num>
  <w:num w:numId="22" w16cid:durableId="1623656068">
    <w:abstractNumId w:val="13"/>
  </w:num>
  <w:num w:numId="23" w16cid:durableId="305354097">
    <w:abstractNumId w:val="11"/>
  </w:num>
  <w:num w:numId="24" w16cid:durableId="1197886936">
    <w:abstractNumId w:val="15"/>
  </w:num>
  <w:num w:numId="25" w16cid:durableId="11000308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35"/>
    <w:rsid w:val="000A0349"/>
    <w:rsid w:val="000A2FBE"/>
    <w:rsid w:val="000A3C2D"/>
    <w:rsid w:val="000C14B8"/>
    <w:rsid w:val="000C7FB4"/>
    <w:rsid w:val="00112CA5"/>
    <w:rsid w:val="00125593"/>
    <w:rsid w:val="00190A92"/>
    <w:rsid w:val="001A27AB"/>
    <w:rsid w:val="00204ABA"/>
    <w:rsid w:val="00244E32"/>
    <w:rsid w:val="002915FB"/>
    <w:rsid w:val="002A4595"/>
    <w:rsid w:val="002C3253"/>
    <w:rsid w:val="002C4EF6"/>
    <w:rsid w:val="002E65E7"/>
    <w:rsid w:val="002E6C79"/>
    <w:rsid w:val="0031443C"/>
    <w:rsid w:val="00342B2F"/>
    <w:rsid w:val="003B0DC7"/>
    <w:rsid w:val="003F47FD"/>
    <w:rsid w:val="00461300"/>
    <w:rsid w:val="00461773"/>
    <w:rsid w:val="00473E11"/>
    <w:rsid w:val="004935BA"/>
    <w:rsid w:val="004A7464"/>
    <w:rsid w:val="004F62C5"/>
    <w:rsid w:val="005276A4"/>
    <w:rsid w:val="0058112E"/>
    <w:rsid w:val="00627BED"/>
    <w:rsid w:val="00687195"/>
    <w:rsid w:val="00694844"/>
    <w:rsid w:val="006A1EEE"/>
    <w:rsid w:val="00702A3E"/>
    <w:rsid w:val="007A74B0"/>
    <w:rsid w:val="007B6802"/>
    <w:rsid w:val="007D25AC"/>
    <w:rsid w:val="00826216"/>
    <w:rsid w:val="00842639"/>
    <w:rsid w:val="00863E11"/>
    <w:rsid w:val="00896DCF"/>
    <w:rsid w:val="00904855"/>
    <w:rsid w:val="00945E28"/>
    <w:rsid w:val="00964BC6"/>
    <w:rsid w:val="0096773F"/>
    <w:rsid w:val="009A7877"/>
    <w:rsid w:val="009D3C85"/>
    <w:rsid w:val="009E0D7C"/>
    <w:rsid w:val="00A2406E"/>
    <w:rsid w:val="00A274F0"/>
    <w:rsid w:val="00A36737"/>
    <w:rsid w:val="00A46EAF"/>
    <w:rsid w:val="00AA3C8D"/>
    <w:rsid w:val="00AC5CCF"/>
    <w:rsid w:val="00B40694"/>
    <w:rsid w:val="00B957C1"/>
    <w:rsid w:val="00BC1939"/>
    <w:rsid w:val="00BE18AB"/>
    <w:rsid w:val="00C61003"/>
    <w:rsid w:val="00C8737B"/>
    <w:rsid w:val="00C96764"/>
    <w:rsid w:val="00D0577E"/>
    <w:rsid w:val="00D070E6"/>
    <w:rsid w:val="00D31435"/>
    <w:rsid w:val="00D414EB"/>
    <w:rsid w:val="00D91004"/>
    <w:rsid w:val="00DE0029"/>
    <w:rsid w:val="00E50B26"/>
    <w:rsid w:val="00E63153"/>
    <w:rsid w:val="00ED48DB"/>
    <w:rsid w:val="00F3213F"/>
    <w:rsid w:val="00F570FC"/>
    <w:rsid w:val="00F57126"/>
    <w:rsid w:val="00F66BAE"/>
    <w:rsid w:val="00F719F3"/>
    <w:rsid w:val="00F961F0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B1B68"/>
  <w14:defaultImageDpi w14:val="32767"/>
  <w15:chartTrackingRefBased/>
  <w15:docId w15:val="{FA2BE481-F4D3-4098-92FC-48CDF139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31435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C8737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C8737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C8737B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BC1939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BC1939"/>
    <w:rPr>
      <w:rFonts w:ascii="Arial" w:eastAsia="Times New Roman" w:hAnsi="Arial" w:cs="Arial"/>
      <w:b/>
      <w:bCs/>
      <w:color w:val="971A4B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C8737B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C8737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C8737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C8737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C8737B"/>
  </w:style>
  <w:style w:type="paragraph" w:customStyle="1" w:styleId="Filename">
    <w:name w:val="Filename"/>
    <w:basedOn w:val="Normal"/>
    <w:rsid w:val="00C8737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C8737B"/>
    <w:rPr>
      <w:rFonts w:ascii="Arial" w:eastAsia="Times New Roman" w:hAnsi="Arial" w:cs="Arial"/>
      <w:b/>
      <w:bCs/>
      <w:iCs/>
      <w:color w:val="971A4B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070E6"/>
    <w:pPr>
      <w:numPr>
        <w:numId w:val="3"/>
      </w:numPr>
      <w:spacing w:before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C8737B"/>
    <w:pPr>
      <w:numPr>
        <w:ilvl w:val="1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C8737B"/>
    <w:pPr>
      <w:numPr>
        <w:ilvl w:val="2"/>
        <w:numId w:val="7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C8737B"/>
    <w:pPr>
      <w:numPr>
        <w:numId w:val="10"/>
      </w:numPr>
      <w:tabs>
        <w:tab w:val="clear" w:pos="1492"/>
        <w:tab w:val="left" w:pos="1304"/>
      </w:tabs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C8737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C8737B"/>
    <w:rPr>
      <w:rFonts w:ascii="Arial Bold" w:eastAsia="Times New Roman" w:hAnsi="Arial Bold" w:cs="Arial"/>
      <w:b/>
      <w:bCs/>
      <w:color w:val="971A4B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C8737B"/>
    <w:pPr>
      <w:numPr>
        <w:ilvl w:val="1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C8737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C8737B"/>
    <w:pPr>
      <w:numPr>
        <w:ilvl w:val="2"/>
        <w:numId w:val="22"/>
      </w:numPr>
      <w:spacing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LACustomisations\Templates\Fact%20Sheets\VLA%20Generic%20(Fact%20Sheet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VLA Generic (Fact Sheet).dotm</Template>
  <TotalTime>4</TotalTime>
  <Pages>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Worksheets – consolidation of criminal charges; traffic prosecutions; bail applications</vt:lpstr>
    </vt:vector>
  </TitlesOfParts>
  <Company>Victoria Legal Aid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Worksheets – consolidation of criminal charges; traffic prosecutions; bail applications</dc:title>
  <dc:subject/>
  <dc:creator>Victoria Legal Aid</dc:creator>
  <cp:keywords/>
  <dc:description/>
  <dcterms:created xsi:type="dcterms:W3CDTF">2022-07-22T05:56:00Z</dcterms:created>
  <dcterms:modified xsi:type="dcterms:W3CDTF">2022-07-22T06:01:00Z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2022-07-22T06:00:18Z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e138b7a7-8036-400b-9411-871beb1db810</vt:lpwstr>
  </property>
  <property fmtid="{D5CDD505-2E9C-101B-9397-08002B2CF9AE}" pid="8" name="MSIP_Label_37c4e7ed-f245-4af1-a266-99d53943bd03_ContentBits">
    <vt:lpwstr>0</vt:lpwstr>
  </property>
</Properties>
</file>