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2B" w:rsidRDefault="00C90A2B" w:rsidP="00C90A2B">
      <w:pPr>
        <w:pStyle w:val="Heading1"/>
      </w:pPr>
      <w:r>
        <w:t>Brief and h</w:t>
      </w:r>
      <w:r w:rsidRPr="00CE6B00">
        <w:t xml:space="preserve">andover to </w:t>
      </w:r>
      <w:r>
        <w:t>c</w:t>
      </w:r>
      <w:r w:rsidRPr="00CE6B00">
        <w:t>ounsel</w:t>
      </w:r>
    </w:p>
    <w:p w:rsidR="00C90A2B" w:rsidRDefault="00C90A2B" w:rsidP="00C90A2B">
      <w:pPr>
        <w:keepNext/>
        <w:rPr>
          <w:szCs w:val="22"/>
        </w:rPr>
      </w:pPr>
      <w:r>
        <w:rPr>
          <w:b/>
          <w:szCs w:val="22"/>
        </w:rPr>
        <w:t>VLA staff</w:t>
      </w:r>
      <w:r w:rsidRPr="003A3CB9">
        <w:rPr>
          <w:b/>
          <w:szCs w:val="22"/>
        </w:rPr>
        <w:t xml:space="preserve"> </w:t>
      </w:r>
      <w:r>
        <w:rPr>
          <w:b/>
          <w:szCs w:val="22"/>
        </w:rPr>
        <w:t xml:space="preserve">lawyers </w:t>
      </w:r>
      <w:r>
        <w:rPr>
          <w:szCs w:val="22"/>
        </w:rPr>
        <w:t xml:space="preserve">must complete this Brief and Handover to Counsel for all contested committals and criminal trials.  </w:t>
      </w:r>
    </w:p>
    <w:p w:rsidR="00C90A2B" w:rsidRPr="00B94C32" w:rsidRDefault="00C90A2B" w:rsidP="00C90A2B">
      <w:pPr>
        <w:keepNext/>
        <w:rPr>
          <w:szCs w:val="22"/>
        </w:rPr>
      </w:pPr>
      <w:r>
        <w:rPr>
          <w:szCs w:val="22"/>
        </w:rPr>
        <w:t>VLA highly recommends</w:t>
      </w:r>
      <w:r w:rsidRPr="003E0F29">
        <w:rPr>
          <w:szCs w:val="22"/>
        </w:rPr>
        <w:t xml:space="preserve"> </w:t>
      </w:r>
      <w:r w:rsidRPr="003E0F29">
        <w:rPr>
          <w:b/>
          <w:szCs w:val="22"/>
        </w:rPr>
        <w:t>p</w:t>
      </w:r>
      <w:r w:rsidRPr="00B917C5">
        <w:rPr>
          <w:b/>
          <w:szCs w:val="22"/>
        </w:rPr>
        <w:t>rivate practitioners</w:t>
      </w:r>
      <w:r>
        <w:rPr>
          <w:szCs w:val="22"/>
        </w:rPr>
        <w:t xml:space="preserve"> complete this Brief and Handover to Counsel for all contested committals and trials. </w:t>
      </w:r>
      <w:bookmarkStart w:id="0" w:name="_GoBack"/>
      <w:bookmarkEnd w:id="0"/>
    </w:p>
    <w:p w:rsidR="00C90A2B" w:rsidRDefault="00C90A2B" w:rsidP="00C90A2B">
      <w:pPr>
        <w:pStyle w:val="Heading3"/>
      </w:pPr>
      <w:r>
        <w:t>Major Criminal Cases Framework</w:t>
      </w:r>
    </w:p>
    <w:p w:rsidR="00C90A2B" w:rsidRDefault="00C90A2B" w:rsidP="00C90A2B">
      <w:pPr>
        <w:keepNext/>
        <w:rPr>
          <w:szCs w:val="22"/>
        </w:rPr>
      </w:pPr>
      <w:r>
        <w:rPr>
          <w:szCs w:val="22"/>
        </w:rPr>
        <w:t xml:space="preserve">A major criminal case includes major criminal trials (criminal trials that are likely to last more than 15 days, including severed trials less than 15 days that collectively equate to more than 15 days) and contested committals beyond 4 days. </w:t>
      </w:r>
    </w:p>
    <w:p w:rsidR="00C90A2B" w:rsidRPr="00FF66ED" w:rsidRDefault="00C90A2B" w:rsidP="00C90A2B">
      <w:pPr>
        <w:pStyle w:val="Heading3"/>
      </w:pPr>
      <w:r w:rsidRPr="00FF66ED">
        <w:t>Mandatory r</w:t>
      </w:r>
      <w:r>
        <w:t>e</w:t>
      </w:r>
      <w:r w:rsidRPr="00FF66ED">
        <w:t>quirements under the Major Criminal Cases Framework</w:t>
      </w:r>
    </w:p>
    <w:p w:rsidR="00C90A2B" w:rsidRDefault="00C90A2B" w:rsidP="00C90A2B">
      <w:r>
        <w:t xml:space="preserve">Practitioners must ensure all of the information required below under </w:t>
      </w:r>
      <w:r>
        <w:rPr>
          <w:i/>
          <w:szCs w:val="22"/>
          <w:u w:val="single"/>
        </w:rPr>
        <w:t>Contents of brief for contested committal</w:t>
      </w:r>
      <w:r w:rsidRPr="009D41A9">
        <w:rPr>
          <w:i/>
          <w:szCs w:val="22"/>
        </w:rPr>
        <w:t xml:space="preserve"> and</w:t>
      </w:r>
      <w:r w:rsidRPr="009D41A9">
        <w:rPr>
          <w:i/>
          <w:szCs w:val="22"/>
          <w:u w:val="single"/>
        </w:rPr>
        <w:t xml:space="preserve"> </w:t>
      </w:r>
      <w:r>
        <w:rPr>
          <w:i/>
          <w:szCs w:val="22"/>
          <w:u w:val="single"/>
        </w:rPr>
        <w:t xml:space="preserve">Contents of brief for </w:t>
      </w:r>
      <w:r w:rsidRPr="009D41A9">
        <w:rPr>
          <w:i/>
          <w:szCs w:val="22"/>
          <w:u w:val="single"/>
        </w:rPr>
        <w:t>trial</w:t>
      </w:r>
      <w:r>
        <w:rPr>
          <w:szCs w:val="22"/>
        </w:rPr>
        <w:t xml:space="preserve"> </w:t>
      </w:r>
      <w:r w:rsidRPr="009D41A9">
        <w:rPr>
          <w:szCs w:val="22"/>
        </w:rPr>
        <w:t>is</w:t>
      </w:r>
      <w:r>
        <w:rPr>
          <w:szCs w:val="22"/>
        </w:rPr>
        <w:t xml:space="preserve"> included in the Brief and Handover to Counsel for contested committals beyond 4 days and major criminal trials. </w:t>
      </w:r>
    </w:p>
    <w:p w:rsidR="00C90A2B" w:rsidRDefault="00C90A2B" w:rsidP="00C90A2B">
      <w:r>
        <w:t xml:space="preserve">Practitioners are not required to submit a Brief and Handover to Counsel to Victoria Legal Aid under the Major Criminal Cases Framework, however, a copy must be kept on the practitioner’s file. </w:t>
      </w:r>
    </w:p>
    <w:p w:rsidR="00C90A2B" w:rsidRPr="00876FFC" w:rsidRDefault="00C90A2B" w:rsidP="00C90A2B">
      <w:pPr>
        <w:keepNext/>
        <w:spacing w:before="120"/>
        <w:rPr>
          <w:szCs w:val="22"/>
        </w:rPr>
      </w:pPr>
      <w:r w:rsidRPr="00B63F5D">
        <w:rPr>
          <w:b/>
          <w:szCs w:val="22"/>
        </w:rPr>
        <w:t>Private practitioners</w:t>
      </w:r>
      <w:r>
        <w:rPr>
          <w:szCs w:val="22"/>
        </w:rPr>
        <w:t xml:space="preserve"> are not required to use this Brief and Handover to Counsel as long as all the information required below under </w:t>
      </w:r>
      <w:r>
        <w:rPr>
          <w:i/>
          <w:szCs w:val="22"/>
          <w:u w:val="single"/>
        </w:rPr>
        <w:t>Contents of brief for contested committal</w:t>
      </w:r>
      <w:r w:rsidRPr="009D41A9">
        <w:rPr>
          <w:i/>
          <w:szCs w:val="22"/>
        </w:rPr>
        <w:t xml:space="preserve"> and</w:t>
      </w:r>
      <w:r w:rsidRPr="009D41A9">
        <w:rPr>
          <w:i/>
          <w:szCs w:val="22"/>
          <w:u w:val="single"/>
        </w:rPr>
        <w:t xml:space="preserve"> </w:t>
      </w:r>
      <w:r>
        <w:rPr>
          <w:i/>
          <w:szCs w:val="22"/>
          <w:u w:val="single"/>
        </w:rPr>
        <w:t xml:space="preserve">Contents of brief for </w:t>
      </w:r>
      <w:r w:rsidRPr="009D41A9">
        <w:rPr>
          <w:i/>
          <w:szCs w:val="22"/>
          <w:u w:val="single"/>
        </w:rPr>
        <w:t>trial</w:t>
      </w:r>
      <w:r>
        <w:rPr>
          <w:szCs w:val="22"/>
        </w:rPr>
        <w:t xml:space="preserve"> </w:t>
      </w:r>
      <w:r w:rsidRPr="009D41A9">
        <w:rPr>
          <w:szCs w:val="22"/>
        </w:rPr>
        <w:t>is</w:t>
      </w:r>
      <w:r>
        <w:rPr>
          <w:szCs w:val="22"/>
        </w:rPr>
        <w:t xml:space="preserve"> included in the Brief and Handover to Counsel. </w:t>
      </w:r>
    </w:p>
    <w:p w:rsidR="00C90A2B" w:rsidRDefault="00C90A2B" w:rsidP="00C90A2B">
      <w:pPr>
        <w:pStyle w:val="Heading2"/>
      </w:pPr>
      <w:r w:rsidRPr="00CE6B00">
        <w:t xml:space="preserve">Contents of brief for contested committal </w:t>
      </w:r>
    </w:p>
    <w:p w:rsidR="00C90A2B" w:rsidRDefault="00C90A2B" w:rsidP="00C90A2B">
      <w:pPr>
        <w:tabs>
          <w:tab w:val="left" w:pos="10740"/>
        </w:tabs>
        <w:spacing w:before="120"/>
        <w:rPr>
          <w:b/>
        </w:rPr>
      </w:pPr>
      <w:r>
        <w:rPr>
          <w:b/>
        </w:rPr>
        <w:t>The Brief and Handover to Counsel must be</w:t>
      </w:r>
      <w:r w:rsidRPr="00BB737C">
        <w:rPr>
          <w:b/>
        </w:rPr>
        <w:t xml:space="preserve"> provided </w:t>
      </w:r>
      <w:r>
        <w:rPr>
          <w:b/>
        </w:rPr>
        <w:t xml:space="preserve">to counsel </w:t>
      </w:r>
      <w:r w:rsidRPr="00BB737C">
        <w:rPr>
          <w:b/>
        </w:rPr>
        <w:t>within 14 days of</w:t>
      </w:r>
      <w:r>
        <w:rPr>
          <w:b/>
        </w:rPr>
        <w:t xml:space="preserve"> the </w:t>
      </w:r>
      <w:r w:rsidRPr="00BB737C">
        <w:rPr>
          <w:b/>
        </w:rPr>
        <w:t>committal mention hearing</w:t>
      </w:r>
      <w:r>
        <w:rPr>
          <w:b/>
        </w:rPr>
        <w:t xml:space="preserve">. </w:t>
      </w:r>
    </w:p>
    <w:p w:rsidR="00C90A2B" w:rsidRDefault="00C90A2B" w:rsidP="00C90A2B">
      <w:r>
        <w:t xml:space="preserve">VLA requires the following to be included in the contents of Brief and Handover to Counsel for all contested committals: </w:t>
      </w:r>
    </w:p>
    <w:p w:rsidR="00C90A2B" w:rsidRDefault="00C90A2B" w:rsidP="00C90A2B">
      <w:pPr>
        <w:pStyle w:val="VLA1"/>
        <w:numPr>
          <w:ilvl w:val="0"/>
          <w:numId w:val="20"/>
        </w:numPr>
        <w:spacing w:after="0" w:line="360" w:lineRule="auto"/>
        <w:rPr>
          <w:lang w:eastAsia="en-AU"/>
        </w:rPr>
      </w:pPr>
      <w:r>
        <w:rPr>
          <w:lang w:eastAsia="en-AU"/>
        </w:rPr>
        <w:t>Mem</w:t>
      </w:r>
      <w:r>
        <w:rPr>
          <w:szCs w:val="22"/>
          <w:lang w:eastAsia="en-AU"/>
        </w:rPr>
        <w:t xml:space="preserve">orandum </w:t>
      </w:r>
      <w:r w:rsidRPr="00DE775A">
        <w:rPr>
          <w:szCs w:val="22"/>
          <w:lang w:eastAsia="en-AU"/>
        </w:rPr>
        <w:t>including documented brief analysis and case strategy.</w:t>
      </w:r>
    </w:p>
    <w:p w:rsidR="00C90A2B" w:rsidRPr="00D7036C" w:rsidRDefault="00C90A2B" w:rsidP="00C90A2B">
      <w:pPr>
        <w:pStyle w:val="VLA1"/>
        <w:numPr>
          <w:ilvl w:val="0"/>
          <w:numId w:val="20"/>
        </w:numPr>
        <w:spacing w:after="0" w:line="360" w:lineRule="auto"/>
        <w:rPr>
          <w:lang w:eastAsia="en-AU"/>
        </w:rPr>
      </w:pPr>
      <w:r w:rsidRPr="00D7036C">
        <w:rPr>
          <w:szCs w:val="22"/>
          <w:lang w:eastAsia="en-AU"/>
        </w:rPr>
        <w:t xml:space="preserve">Procedural history: </w:t>
      </w:r>
    </w:p>
    <w:p w:rsidR="00C90A2B" w:rsidRDefault="00C90A2B" w:rsidP="00C90A2B">
      <w:pPr>
        <w:pStyle w:val="VLAa"/>
        <w:rPr>
          <w:lang w:eastAsia="en-AU"/>
        </w:rPr>
      </w:pPr>
      <w:r w:rsidRPr="00DE775A">
        <w:rPr>
          <w:lang w:eastAsia="en-AU"/>
        </w:rPr>
        <w:t>Chronology of the case including interview, charge, remand and bail</w:t>
      </w:r>
    </w:p>
    <w:p w:rsidR="00C90A2B" w:rsidRPr="007A7C0B" w:rsidRDefault="00C90A2B" w:rsidP="00C90A2B">
      <w:pPr>
        <w:pStyle w:val="VLAa"/>
        <w:rPr>
          <w:lang w:eastAsia="en-AU"/>
        </w:rPr>
      </w:pPr>
      <w:r w:rsidRPr="007A7C0B">
        <w:rPr>
          <w:szCs w:val="22"/>
          <w:lang w:eastAsia="en-AU"/>
        </w:rPr>
        <w:t xml:space="preserve">Negotiations with the prosecution. Include significant correspondence (including emails) between the parties. </w:t>
      </w:r>
    </w:p>
    <w:p w:rsidR="00C90A2B" w:rsidRPr="00DE775A" w:rsidRDefault="00C90A2B" w:rsidP="00C90A2B">
      <w:pPr>
        <w:pStyle w:val="VLA1"/>
        <w:spacing w:after="0" w:line="360" w:lineRule="auto"/>
        <w:rPr>
          <w:lang w:eastAsia="en-AU"/>
        </w:rPr>
      </w:pPr>
      <w:r w:rsidRPr="00DE775A">
        <w:rPr>
          <w:lang w:eastAsia="en-AU"/>
        </w:rPr>
        <w:t xml:space="preserve">Court documents including case direction notices, bail documents, other notices (tendency, coincidence, hearsay, prior sexual activity). </w:t>
      </w:r>
    </w:p>
    <w:p w:rsidR="00C90A2B" w:rsidRPr="00DE775A" w:rsidRDefault="00C90A2B" w:rsidP="00C90A2B">
      <w:pPr>
        <w:pStyle w:val="VLA1"/>
        <w:spacing w:after="0" w:line="360" w:lineRule="auto"/>
        <w:rPr>
          <w:lang w:eastAsia="en-AU"/>
        </w:rPr>
      </w:pPr>
      <w:r w:rsidRPr="00DE775A">
        <w:rPr>
          <w:lang w:eastAsia="en-AU"/>
        </w:rPr>
        <w:t xml:space="preserve">Brief of evidence including photographs, CD/DVDs and other exhibits. </w:t>
      </w:r>
    </w:p>
    <w:p w:rsidR="00C90A2B" w:rsidRPr="00DE775A" w:rsidRDefault="00C90A2B" w:rsidP="00C90A2B">
      <w:pPr>
        <w:pStyle w:val="VLA1"/>
        <w:spacing w:after="0" w:line="360" w:lineRule="auto"/>
        <w:rPr>
          <w:lang w:eastAsia="en-AU"/>
        </w:rPr>
      </w:pPr>
      <w:r w:rsidRPr="00DE775A">
        <w:rPr>
          <w:lang w:eastAsia="en-AU"/>
        </w:rPr>
        <w:t>Further disclosure via Form 32 process, subpoena or FoI.</w:t>
      </w:r>
    </w:p>
    <w:p w:rsidR="00C90A2B" w:rsidRDefault="00C90A2B" w:rsidP="00C90A2B">
      <w:pPr>
        <w:pStyle w:val="Heading2"/>
      </w:pPr>
      <w:r w:rsidRPr="00BB737C">
        <w:t xml:space="preserve">Contents of brief for trial </w:t>
      </w:r>
    </w:p>
    <w:p w:rsidR="00C90A2B" w:rsidRPr="004F60D7" w:rsidRDefault="00C90A2B" w:rsidP="00C90A2B">
      <w:pPr>
        <w:spacing w:before="120" w:line="240" w:lineRule="atLeast"/>
        <w:rPr>
          <w:b/>
        </w:rPr>
      </w:pPr>
      <w:r>
        <w:rPr>
          <w:b/>
        </w:rPr>
        <w:t xml:space="preserve">The Brief and Handover to Counsel must </w:t>
      </w:r>
      <w:r w:rsidRPr="00BB737C">
        <w:rPr>
          <w:b/>
        </w:rPr>
        <w:t xml:space="preserve">be provided </w:t>
      </w:r>
      <w:r>
        <w:rPr>
          <w:b/>
        </w:rPr>
        <w:t xml:space="preserve">to counsel </w:t>
      </w:r>
      <w:r w:rsidRPr="00BB737C">
        <w:rPr>
          <w:b/>
        </w:rPr>
        <w:t>within 30 days of receipt of depositions or at least 30 days before</w:t>
      </w:r>
      <w:r>
        <w:rPr>
          <w:b/>
        </w:rPr>
        <w:t xml:space="preserve"> the</w:t>
      </w:r>
      <w:r w:rsidRPr="00BB737C">
        <w:rPr>
          <w:b/>
        </w:rPr>
        <w:t xml:space="preserve"> final directions hearing, whichever is sooner. </w:t>
      </w:r>
    </w:p>
    <w:p w:rsidR="00C90A2B" w:rsidRDefault="00C90A2B" w:rsidP="00C90A2B">
      <w:r>
        <w:t>VLA requires the following to be included in the contents of Brief and Handover to Counsel for all criminal trials:</w:t>
      </w:r>
    </w:p>
    <w:p w:rsidR="00C90A2B" w:rsidRPr="00E660D2" w:rsidRDefault="00C90A2B" w:rsidP="00C90A2B">
      <w:pPr>
        <w:pStyle w:val="VLA1"/>
        <w:numPr>
          <w:ilvl w:val="0"/>
          <w:numId w:val="20"/>
        </w:numPr>
        <w:spacing w:after="0" w:line="360" w:lineRule="auto"/>
        <w:rPr>
          <w:b/>
          <w:lang w:eastAsia="en-AU"/>
        </w:rPr>
      </w:pPr>
      <w:r w:rsidRPr="00E660D2">
        <w:rPr>
          <w:lang w:eastAsia="en-AU"/>
        </w:rPr>
        <w:t>Memorandum</w:t>
      </w:r>
      <w:r>
        <w:rPr>
          <w:b/>
          <w:lang w:eastAsia="en-AU"/>
        </w:rPr>
        <w:t xml:space="preserve"> </w:t>
      </w:r>
      <w:r w:rsidRPr="00DE775A">
        <w:rPr>
          <w:szCs w:val="22"/>
          <w:lang w:eastAsia="en-AU"/>
        </w:rPr>
        <w:t xml:space="preserve">including documented </w:t>
      </w:r>
      <w:r>
        <w:rPr>
          <w:szCs w:val="22"/>
          <w:lang w:eastAsia="en-AU"/>
        </w:rPr>
        <w:t>B</w:t>
      </w:r>
      <w:r w:rsidRPr="00DE775A">
        <w:rPr>
          <w:szCs w:val="22"/>
          <w:lang w:eastAsia="en-AU"/>
        </w:rPr>
        <w:t xml:space="preserve">rief </w:t>
      </w:r>
      <w:r>
        <w:rPr>
          <w:szCs w:val="22"/>
          <w:lang w:eastAsia="en-AU"/>
        </w:rPr>
        <w:t>A</w:t>
      </w:r>
      <w:r w:rsidRPr="00DE775A">
        <w:rPr>
          <w:szCs w:val="22"/>
          <w:lang w:eastAsia="en-AU"/>
        </w:rPr>
        <w:t xml:space="preserve">nalysis and </w:t>
      </w:r>
      <w:r>
        <w:rPr>
          <w:szCs w:val="22"/>
          <w:lang w:eastAsia="en-AU"/>
        </w:rPr>
        <w:t>C</w:t>
      </w:r>
      <w:r w:rsidRPr="00DE775A">
        <w:rPr>
          <w:szCs w:val="22"/>
          <w:lang w:eastAsia="en-AU"/>
        </w:rPr>
        <w:t xml:space="preserve">ase </w:t>
      </w:r>
      <w:r>
        <w:rPr>
          <w:szCs w:val="22"/>
          <w:lang w:eastAsia="en-AU"/>
        </w:rPr>
        <w:t>S</w:t>
      </w:r>
      <w:r w:rsidRPr="00DE775A">
        <w:rPr>
          <w:szCs w:val="22"/>
          <w:lang w:eastAsia="en-AU"/>
        </w:rPr>
        <w:t xml:space="preserve">trategy (per above) and </w:t>
      </w:r>
      <w:r>
        <w:rPr>
          <w:szCs w:val="22"/>
          <w:lang w:eastAsia="en-AU"/>
        </w:rPr>
        <w:t>C</w:t>
      </w:r>
      <w:r w:rsidRPr="00DE775A">
        <w:rPr>
          <w:szCs w:val="22"/>
          <w:lang w:eastAsia="en-AU"/>
        </w:rPr>
        <w:t xml:space="preserve">ommittal </w:t>
      </w:r>
      <w:r>
        <w:rPr>
          <w:szCs w:val="22"/>
          <w:lang w:eastAsia="en-AU"/>
        </w:rPr>
        <w:t>R</w:t>
      </w:r>
      <w:r w:rsidRPr="00DE775A">
        <w:rPr>
          <w:szCs w:val="22"/>
          <w:lang w:eastAsia="en-AU"/>
        </w:rPr>
        <w:t xml:space="preserve">eport and </w:t>
      </w:r>
      <w:r>
        <w:rPr>
          <w:szCs w:val="22"/>
          <w:lang w:eastAsia="en-AU"/>
        </w:rPr>
        <w:t>T</w:t>
      </w:r>
      <w:r w:rsidRPr="00DE775A">
        <w:rPr>
          <w:szCs w:val="22"/>
          <w:lang w:eastAsia="en-AU"/>
        </w:rPr>
        <w:t xml:space="preserve">rial preparation </w:t>
      </w:r>
      <w:r>
        <w:rPr>
          <w:szCs w:val="22"/>
          <w:lang w:eastAsia="en-AU"/>
        </w:rPr>
        <w:t>P</w:t>
      </w:r>
      <w:r w:rsidRPr="00DE775A">
        <w:rPr>
          <w:szCs w:val="22"/>
          <w:lang w:eastAsia="en-AU"/>
        </w:rPr>
        <w:t>lan.</w:t>
      </w:r>
    </w:p>
    <w:p w:rsidR="00C90A2B" w:rsidRPr="00B92B78" w:rsidRDefault="00C90A2B" w:rsidP="00C90A2B">
      <w:pPr>
        <w:pStyle w:val="VLA1"/>
        <w:numPr>
          <w:ilvl w:val="0"/>
          <w:numId w:val="20"/>
        </w:numPr>
        <w:tabs>
          <w:tab w:val="num" w:pos="1430"/>
        </w:tabs>
        <w:spacing w:after="0" w:line="360" w:lineRule="auto"/>
        <w:rPr>
          <w:b/>
          <w:lang w:eastAsia="en-AU"/>
        </w:rPr>
      </w:pPr>
      <w:r w:rsidRPr="00E660D2">
        <w:rPr>
          <w:szCs w:val="22"/>
          <w:lang w:eastAsia="en-AU"/>
        </w:rPr>
        <w:lastRenderedPageBreak/>
        <w:t xml:space="preserve">Procedural history: </w:t>
      </w:r>
    </w:p>
    <w:p w:rsidR="00C90A2B" w:rsidRDefault="00C90A2B" w:rsidP="00C90A2B">
      <w:pPr>
        <w:pStyle w:val="VLAa"/>
        <w:numPr>
          <w:ilvl w:val="1"/>
          <w:numId w:val="20"/>
        </w:numPr>
        <w:tabs>
          <w:tab w:val="num" w:pos="1430"/>
        </w:tabs>
        <w:spacing w:after="0" w:line="360" w:lineRule="auto"/>
        <w:rPr>
          <w:b/>
          <w:lang w:eastAsia="en-AU"/>
        </w:rPr>
      </w:pPr>
      <w:r w:rsidRPr="00B92B78">
        <w:rPr>
          <w:szCs w:val="22"/>
          <w:lang w:eastAsia="en-AU"/>
        </w:rPr>
        <w:t>Chronology of the case including interview, charge, remand, bail and court events</w:t>
      </w:r>
    </w:p>
    <w:p w:rsidR="00C90A2B" w:rsidRPr="00B92B78" w:rsidRDefault="00C90A2B" w:rsidP="00C90A2B">
      <w:pPr>
        <w:pStyle w:val="VLAa"/>
        <w:numPr>
          <w:ilvl w:val="1"/>
          <w:numId w:val="20"/>
        </w:numPr>
        <w:tabs>
          <w:tab w:val="num" w:pos="1430"/>
        </w:tabs>
        <w:spacing w:after="0" w:line="360" w:lineRule="auto"/>
        <w:rPr>
          <w:b/>
          <w:lang w:eastAsia="en-AU"/>
        </w:rPr>
      </w:pPr>
      <w:r w:rsidRPr="00B92B78">
        <w:rPr>
          <w:szCs w:val="22"/>
          <w:lang w:eastAsia="en-AU"/>
        </w:rPr>
        <w:t xml:space="preserve">Court events and negotiations with the prosecution. Include significant correspondence (including emails) between the parties. </w:t>
      </w:r>
    </w:p>
    <w:p w:rsidR="00C90A2B" w:rsidRDefault="00C90A2B" w:rsidP="00C90A2B">
      <w:pPr>
        <w:pStyle w:val="VLA1"/>
        <w:spacing w:after="0" w:line="360" w:lineRule="auto"/>
        <w:rPr>
          <w:lang w:eastAsia="en-AU"/>
        </w:rPr>
      </w:pPr>
      <w:r w:rsidRPr="00DE775A">
        <w:rPr>
          <w:lang w:eastAsia="en-AU"/>
        </w:rPr>
        <w:t>Court documents: indictment, prosecution opening and defence response, notices (case direction, tendency, coincidence, hearsay, prior sexual history etc</w:t>
      </w:r>
      <w:r>
        <w:rPr>
          <w:lang w:eastAsia="en-AU"/>
        </w:rPr>
        <w:t>.)</w:t>
      </w:r>
      <w:r w:rsidRPr="00DE775A">
        <w:rPr>
          <w:lang w:eastAsia="en-AU"/>
        </w:rPr>
        <w:t xml:space="preserve">. </w:t>
      </w:r>
    </w:p>
    <w:p w:rsidR="00C90A2B" w:rsidRPr="00E660D2" w:rsidRDefault="00C90A2B" w:rsidP="00C90A2B">
      <w:pPr>
        <w:pStyle w:val="VLA1"/>
        <w:tabs>
          <w:tab w:val="num" w:pos="1430"/>
        </w:tabs>
        <w:spacing w:after="0" w:line="360" w:lineRule="auto"/>
        <w:rPr>
          <w:lang w:eastAsia="en-AU"/>
        </w:rPr>
      </w:pPr>
      <w:r w:rsidRPr="00E660D2">
        <w:rPr>
          <w:szCs w:val="22"/>
          <w:lang w:eastAsia="en-AU"/>
        </w:rPr>
        <w:t xml:space="preserve">Witnesses: Witness list in order provided by the Crown with the indictment then tabbed sections for each witness containing: </w:t>
      </w:r>
    </w:p>
    <w:p w:rsidR="00C90A2B" w:rsidRDefault="00C90A2B" w:rsidP="00C90A2B">
      <w:pPr>
        <w:pStyle w:val="VLAa"/>
        <w:tabs>
          <w:tab w:val="num" w:pos="1540"/>
        </w:tabs>
        <w:rPr>
          <w:lang w:eastAsia="en-AU"/>
        </w:rPr>
      </w:pPr>
      <w:r w:rsidRPr="00DE775A">
        <w:rPr>
          <w:lang w:eastAsia="en-AU"/>
        </w:rPr>
        <w:t>Witness statement(s), i</w:t>
      </w:r>
      <w:r>
        <w:rPr>
          <w:lang w:eastAsia="en-AU"/>
        </w:rPr>
        <w:t>ncluding handwritten statements;</w:t>
      </w:r>
      <w:r w:rsidRPr="00DE775A">
        <w:rPr>
          <w:lang w:eastAsia="en-AU"/>
        </w:rPr>
        <w:t xml:space="preserve"> </w:t>
      </w:r>
    </w:p>
    <w:p w:rsidR="00C90A2B" w:rsidRDefault="00C90A2B" w:rsidP="00C90A2B">
      <w:pPr>
        <w:pStyle w:val="VLAa"/>
        <w:tabs>
          <w:tab w:val="num" w:pos="1540"/>
        </w:tabs>
        <w:rPr>
          <w:lang w:eastAsia="en-AU"/>
        </w:rPr>
      </w:pPr>
      <w:r w:rsidRPr="00B92B78">
        <w:rPr>
          <w:szCs w:val="22"/>
          <w:lang w:eastAsia="en-AU"/>
        </w:rPr>
        <w:t>Committal tra</w:t>
      </w:r>
      <w:r>
        <w:rPr>
          <w:szCs w:val="22"/>
          <w:lang w:eastAsia="en-AU"/>
        </w:rPr>
        <w:t>nscript regarding that witness;</w:t>
      </w:r>
    </w:p>
    <w:p w:rsidR="00C90A2B" w:rsidRDefault="00C90A2B" w:rsidP="00C90A2B">
      <w:pPr>
        <w:pStyle w:val="VLAa"/>
        <w:tabs>
          <w:tab w:val="num" w:pos="1540"/>
        </w:tabs>
        <w:rPr>
          <w:lang w:eastAsia="en-AU"/>
        </w:rPr>
      </w:pPr>
      <w:r w:rsidRPr="00B92B78">
        <w:rPr>
          <w:szCs w:val="22"/>
          <w:lang w:eastAsia="en-AU"/>
        </w:rPr>
        <w:t>Notes made by the witness</w:t>
      </w:r>
      <w:r>
        <w:rPr>
          <w:szCs w:val="22"/>
          <w:lang w:eastAsia="en-AU"/>
        </w:rPr>
        <w:t>;</w:t>
      </w:r>
    </w:p>
    <w:p w:rsidR="00C90A2B" w:rsidRDefault="00C90A2B" w:rsidP="00C90A2B">
      <w:pPr>
        <w:pStyle w:val="VLAa"/>
        <w:tabs>
          <w:tab w:val="num" w:pos="1540"/>
        </w:tabs>
        <w:rPr>
          <w:lang w:eastAsia="en-AU"/>
        </w:rPr>
      </w:pPr>
      <w:r w:rsidRPr="00B92B78">
        <w:rPr>
          <w:szCs w:val="22"/>
          <w:lang w:eastAsia="en-AU"/>
        </w:rPr>
        <w:t>Any prior trial transcript</w:t>
      </w:r>
      <w:r>
        <w:rPr>
          <w:szCs w:val="22"/>
          <w:lang w:eastAsia="en-AU"/>
        </w:rPr>
        <w:t>; and</w:t>
      </w:r>
    </w:p>
    <w:p w:rsidR="00C90A2B" w:rsidRPr="00B92B78" w:rsidRDefault="00C90A2B" w:rsidP="00C90A2B">
      <w:pPr>
        <w:pStyle w:val="VLAa"/>
        <w:tabs>
          <w:tab w:val="num" w:pos="1540"/>
        </w:tabs>
        <w:rPr>
          <w:lang w:eastAsia="en-AU"/>
        </w:rPr>
      </w:pPr>
      <w:r w:rsidRPr="00B92B78">
        <w:rPr>
          <w:szCs w:val="22"/>
          <w:lang w:eastAsia="en-AU"/>
        </w:rPr>
        <w:t xml:space="preserve">Exhibits relevant to that witness. </w:t>
      </w:r>
    </w:p>
    <w:p w:rsidR="00C90A2B" w:rsidRPr="00DE775A" w:rsidRDefault="00C90A2B" w:rsidP="00C90A2B">
      <w:pPr>
        <w:pStyle w:val="VLA1"/>
        <w:spacing w:after="0" w:line="360" w:lineRule="auto"/>
        <w:rPr>
          <w:lang w:eastAsia="en-AU"/>
        </w:rPr>
      </w:pPr>
      <w:r w:rsidRPr="00DE775A">
        <w:rPr>
          <w:lang w:eastAsia="en-AU"/>
        </w:rPr>
        <w:t xml:space="preserve">Client: Record of interview, proof of evidence/instructions from client, client expectations, prior convictions. </w:t>
      </w:r>
    </w:p>
    <w:p w:rsidR="00C90A2B" w:rsidRPr="00DE775A" w:rsidRDefault="00C90A2B" w:rsidP="00C90A2B">
      <w:pPr>
        <w:pStyle w:val="VLA1"/>
        <w:spacing w:after="0" w:line="360" w:lineRule="auto"/>
        <w:rPr>
          <w:lang w:eastAsia="en-AU"/>
        </w:rPr>
      </w:pPr>
      <w:r w:rsidRPr="00DE775A">
        <w:rPr>
          <w:lang w:eastAsia="en-AU"/>
        </w:rPr>
        <w:t xml:space="preserve">Defence Evidence: Proofs of evidence, statements or reports of defence witnesses. </w:t>
      </w:r>
    </w:p>
    <w:p w:rsidR="00C90A2B" w:rsidRPr="00722EF5" w:rsidRDefault="00C90A2B" w:rsidP="00C90A2B">
      <w:pPr>
        <w:pStyle w:val="VLA1"/>
        <w:spacing w:after="0" w:line="360" w:lineRule="auto"/>
        <w:rPr>
          <w:sz w:val="20"/>
          <w:szCs w:val="20"/>
        </w:rPr>
      </w:pPr>
      <w:r w:rsidRPr="00DE775A">
        <w:rPr>
          <w:lang w:eastAsia="en-AU"/>
        </w:rPr>
        <w:t xml:space="preserve">Exhibits: Exhibit lists, descriptions of exhibits, copies of documentary exhibit plans. </w:t>
      </w:r>
    </w:p>
    <w:p w:rsidR="00A506E7" w:rsidRPr="00086C21" w:rsidRDefault="00C90A2B" w:rsidP="00086C21">
      <w:pPr>
        <w:pStyle w:val="VLA1"/>
        <w:numPr>
          <w:ilvl w:val="0"/>
          <w:numId w:val="0"/>
        </w:numPr>
        <w:spacing w:before="120" w:after="0" w:line="360" w:lineRule="auto"/>
        <w:rPr>
          <w:sz w:val="20"/>
          <w:szCs w:val="20"/>
        </w:rPr>
      </w:pPr>
      <w:r w:rsidRPr="00722EF5">
        <w:rPr>
          <w:sz w:val="20"/>
          <w:szCs w:val="20"/>
        </w:rPr>
        <w:t xml:space="preserve">Note that depositions should be provided in hard copy and electronic form (on disc) given that it is not yet practical to run a trial with only an electronic version. </w:t>
      </w:r>
    </w:p>
    <w:sectPr w:rsidR="00A506E7" w:rsidRPr="00086C21" w:rsidSect="00094FE1">
      <w:headerReference w:type="even" r:id="rId8"/>
      <w:headerReference w:type="default" r:id="rId9"/>
      <w:footerReference w:type="even" r:id="rId10"/>
      <w:footerReference w:type="default" r:id="rId11"/>
      <w:headerReference w:type="first" r:id="rId12"/>
      <w:footerReference w:type="first" r:id="rId13"/>
      <w:pgSz w:w="11900" w:h="16840" w:code="9"/>
      <w:pgMar w:top="2126" w:right="1100" w:bottom="1077" w:left="1100" w:header="284" w:footer="227"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5D8" w:rsidRDefault="008275D8" w:rsidP="00D30B8E">
      <w:r>
        <w:separator/>
      </w:r>
    </w:p>
  </w:endnote>
  <w:endnote w:type="continuationSeparator" w:id="0">
    <w:p w:rsidR="008275D8" w:rsidRDefault="008275D8" w:rsidP="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8074B3">
    <w:pPr>
      <w:pStyle w:val="Footer"/>
      <w:ind w:right="360" w:firstLine="360"/>
    </w:pPr>
  </w:p>
  <w:p w:rsidR="005F6432" w:rsidRDefault="005F6432"/>
  <w:p w:rsidR="005F6432" w:rsidRDefault="005F6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896E60">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C560DC">
      <w:rPr>
        <w:rStyle w:val="PageNumber"/>
        <w:noProof/>
      </w:rPr>
      <w:t>2</w:t>
    </w:r>
    <w:r>
      <w:rPr>
        <w:rStyle w:val="PageNumber"/>
      </w:rPr>
      <w:fldChar w:fldCharType="end"/>
    </w:r>
    <w:r w:rsidR="00C560DC">
      <w:rPr>
        <w:noProof/>
        <w:lang w:eastAsia="en-AU"/>
      </w:rPr>
      <mc:AlternateContent>
        <mc:Choice Requires="wps">
          <w:drawing>
            <wp:anchor distT="4294967295" distB="4294967295" distL="114300" distR="114300" simplePos="0" relativeHeight="251657216" behindDoc="0" locked="1" layoutInCell="1" allowOverlap="1">
              <wp:simplePos x="0" y="0"/>
              <wp:positionH relativeFrom="page">
                <wp:posOffset>180340</wp:posOffset>
              </wp:positionH>
              <wp:positionV relativeFrom="page">
                <wp:posOffset>10286364</wp:posOffset>
              </wp:positionV>
              <wp:extent cx="7200265" cy="0"/>
              <wp:effectExtent l="0" t="0" r="19685" b="1905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3AE357" id="Line 3" o:spid="_x0000_s1026" alt=" "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" strokecolor="#b1005d" strokeweight=".5pt">
              <v:stroke endcap="round"/>
              <v:shadow opacity="22938f" offset="0"/>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Default="009D539D" w:rsidP="00A506E7">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C560D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5D8" w:rsidRDefault="008275D8" w:rsidP="00D30B8E">
      <w:r>
        <w:separator/>
      </w:r>
    </w:p>
  </w:footnote>
  <w:footnote w:type="continuationSeparator" w:id="0">
    <w:p w:rsidR="008275D8" w:rsidRDefault="008275D8" w:rsidP="00D3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091AFC">
    <w:pPr>
      <w:pStyle w:val="Header"/>
      <w:ind w:right="360"/>
    </w:pPr>
  </w:p>
  <w:p w:rsidR="005F6432" w:rsidRDefault="005F6432"/>
  <w:p w:rsidR="005F6432" w:rsidRDefault="005F64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Pr="00214E70" w:rsidRDefault="00DE3C33" w:rsidP="00214E70">
    <w:pPr>
      <w:spacing w:after="80"/>
      <w:ind w:left="-330"/>
      <w:rPr>
        <w:rFonts w:cs="Arial"/>
        <w:color w:val="B1005D"/>
        <w:sz w:val="18"/>
        <w:szCs w:val="18"/>
      </w:rPr>
    </w:pPr>
    <w:smartTag w:uri="urn:schemas-microsoft-com:office:smarttags" w:element="State">
      <w:smartTag w:uri="urn:schemas-microsoft-com:office:smarttags" w:element="place">
        <w:r w:rsidRPr="006A6FC6">
          <w:rPr>
            <w:rFonts w:cs="Arial"/>
            <w:color w:val="B1005D"/>
            <w:sz w:val="18"/>
            <w:szCs w:val="18"/>
          </w:rPr>
          <w:t>Victoria</w:t>
        </w:r>
      </w:smartTag>
    </w:smartTag>
    <w:r w:rsidR="00214E70">
      <w:rPr>
        <w:rFonts w:cs="Arial"/>
        <w:color w:val="B1005D"/>
        <w:sz w:val="18"/>
        <w:szCs w:val="18"/>
      </w:rPr>
      <w:t xml:space="preserve"> Legal Aid</w:t>
    </w:r>
    <w:r w:rsidR="00C560DC">
      <w:rPr>
        <w:noProof/>
      </w:rPr>
      <mc:AlternateContent>
        <mc:Choice Requires="wps">
          <w:drawing>
            <wp:anchor distT="0" distB="0" distL="114300" distR="114300" simplePos="0" relativeHeight="251658240" behindDoc="1" locked="1" layoutInCell="1" allowOverlap="1">
              <wp:simplePos x="0" y="0"/>
              <wp:positionH relativeFrom="page">
                <wp:posOffset>180340</wp:posOffset>
              </wp:positionH>
              <wp:positionV relativeFrom="page">
                <wp:posOffset>684530</wp:posOffset>
              </wp:positionV>
              <wp:extent cx="7200265" cy="396240"/>
              <wp:effectExtent l="0" t="0" r="19685" b="2286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396240"/>
                      </a:xfrm>
                      <a:prstGeom prst="line">
                        <a:avLst/>
                      </a:prstGeom>
                      <a:noFill/>
                      <a:ln w="6350">
                        <a:solidFill>
                          <a:srgbClr val="B1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92B70"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" strokecolor="#b1005d" strokeweight=".5pt">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33" w:rsidRDefault="00C560DC" w:rsidP="00DE3C33">
    <w:pPr>
      <w:pStyle w:val="VLAProgram"/>
    </w:pPr>
    <w:r>
      <w:rPr>
        <w:noProof/>
        <w:lang w:eastAsia="en-AU"/>
      </w:rPr>
      <w:drawing>
        <wp:anchor distT="0" distB="0" distL="114300" distR="114300" simplePos="0" relativeHeight="251659264" behindDoc="1" locked="0" layoutInCell="1" allowOverlap="1">
          <wp:simplePos x="0" y="0"/>
          <wp:positionH relativeFrom="page">
            <wp:posOffset>180340</wp:posOffset>
          </wp:positionH>
          <wp:positionV relativeFrom="page">
            <wp:posOffset>180340</wp:posOffset>
          </wp:positionV>
          <wp:extent cx="7143750" cy="1076325"/>
          <wp:effectExtent l="0" t="0" r="0" b="9525"/>
          <wp:wrapNone/>
          <wp:docPr id="8" name="Picture 30" descr="Victoria Legal Aid Lawyers and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 Legal Aid Lawyers and Legal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432" w:rsidRDefault="008A7095" w:rsidP="00A506E7">
    <w:pPr>
      <w:pStyle w:val="VLAPublicationdate"/>
    </w:pPr>
    <w:r>
      <w:t>1 February 2016</w:t>
    </w:r>
    <w:r w:rsidR="00DE3C33" w:rsidRPr="00244499">
      <w:t xml:space="preserve"> </w:t>
    </w:r>
    <w:r w:rsidR="00C560DC">
      <w:rPr>
        <w:noProof/>
      </w:rPr>
      <mc:AlternateContent>
        <mc:Choice Requires="wps">
          <w:drawing>
            <wp:anchor distT="4294967295" distB="4294967295" distL="114300" distR="114300" simplePos="0" relativeHeight="251656192" behindDoc="0" locked="1" layoutInCell="1" allowOverlap="1">
              <wp:simplePos x="0" y="0"/>
              <wp:positionH relativeFrom="page">
                <wp:posOffset>180340</wp:posOffset>
              </wp:positionH>
              <wp:positionV relativeFrom="page">
                <wp:posOffset>10285729</wp:posOffset>
              </wp:positionV>
              <wp:extent cx="7200265" cy="0"/>
              <wp:effectExtent l="0" t="0" r="19685" b="1905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2F1F4B" id="Line 3" o:spid="_x0000_s1026" alt=" "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pt" to="581.15pt,8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" strokecolor="#b1005d" strokeweight=".5pt">
              <v:stroke endcap="round"/>
              <v:shadow opacity="22938f" offset="0"/>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5747"/>
    <w:multiLevelType w:val="hybridMultilevel"/>
    <w:tmpl w:val="E876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3B049D0"/>
    <w:multiLevelType w:val="hybridMultilevel"/>
    <w:tmpl w:val="BF34C764"/>
    <w:lvl w:ilvl="0" w:tplc="1B6435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11DA8"/>
    <w:multiLevelType w:val="hybridMultilevel"/>
    <w:tmpl w:val="89504E64"/>
    <w:lvl w:ilvl="0" w:tplc="AA62EF9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15:restartNumberingAfterBreak="0">
    <w:nsid w:val="339B0545"/>
    <w:multiLevelType w:val="hybridMultilevel"/>
    <w:tmpl w:val="16EC9B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8134211"/>
    <w:multiLevelType w:val="multilevel"/>
    <w:tmpl w:val="2138BD6C"/>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855FF1"/>
    <w:multiLevelType w:val="hybridMultilevel"/>
    <w:tmpl w:val="3D82003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56E8442E"/>
    <w:multiLevelType w:val="hybridMultilevel"/>
    <w:tmpl w:val="5ADC12E6"/>
    <w:lvl w:ilvl="0" w:tplc="960CE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DD487A"/>
    <w:multiLevelType w:val="hybridMultilevel"/>
    <w:tmpl w:val="030C42D0"/>
    <w:lvl w:ilvl="0" w:tplc="7C4A8D96">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C5748"/>
    <w:multiLevelType w:val="hybridMultilevel"/>
    <w:tmpl w:val="D45A32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A186D8A"/>
    <w:multiLevelType w:val="hybridMultilevel"/>
    <w:tmpl w:val="28F0D7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D630EB6"/>
    <w:multiLevelType w:val="hybridMultilevel"/>
    <w:tmpl w:val="2E9A3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0"/>
  </w:num>
  <w:num w:numId="4">
    <w:abstractNumId w:val="9"/>
  </w:num>
  <w:num w:numId="5">
    <w:abstractNumId w:val="10"/>
  </w:num>
  <w:num w:numId="6">
    <w:abstractNumId w:val="10"/>
  </w:num>
  <w:num w:numId="7">
    <w:abstractNumId w:val="12"/>
  </w:num>
  <w:num w:numId="8">
    <w:abstractNumId w:val="10"/>
  </w:num>
  <w:num w:numId="9">
    <w:abstractNumId w:val="7"/>
  </w:num>
  <w:num w:numId="10">
    <w:abstractNumId w:val="4"/>
  </w:num>
  <w:num w:numId="11">
    <w:abstractNumId w:val="13"/>
  </w:num>
  <w:num w:numId="12">
    <w:abstractNumId w:val="5"/>
  </w:num>
  <w:num w:numId="13">
    <w:abstractNumId w:val="8"/>
  </w:num>
  <w:num w:numId="14">
    <w:abstractNumId w:val="3"/>
  </w:num>
  <w:num w:numId="15">
    <w:abstractNumId w:val="2"/>
  </w:num>
  <w:num w:numId="16">
    <w:abstractNumId w:val="14"/>
  </w:num>
  <w:num w:numId="17">
    <w:abstractNumId w:val="0"/>
  </w:num>
  <w:num w:numId="18">
    <w:abstractNumId w:val="11"/>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360"/>
  <w:displayHorizontalDrawingGridEvery w:val="0"/>
  <w:displayVerticalDrawingGridEvery w:val="0"/>
  <w:characterSpacingControl w:val="doNotCompress"/>
  <w:hdrShapeDefaults>
    <o:shapedefaults v:ext="edit" spidmax="3074">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6E2130"/>
    <w:rsid w:val="000078CE"/>
    <w:rsid w:val="000360EC"/>
    <w:rsid w:val="00040F0B"/>
    <w:rsid w:val="000525DF"/>
    <w:rsid w:val="00057FDC"/>
    <w:rsid w:val="000759A6"/>
    <w:rsid w:val="00086C21"/>
    <w:rsid w:val="00091AFC"/>
    <w:rsid w:val="00094FE1"/>
    <w:rsid w:val="000A1C94"/>
    <w:rsid w:val="000C6955"/>
    <w:rsid w:val="000E1BEB"/>
    <w:rsid w:val="00151B7E"/>
    <w:rsid w:val="00160C7E"/>
    <w:rsid w:val="00181303"/>
    <w:rsid w:val="00214E70"/>
    <w:rsid w:val="0021722B"/>
    <w:rsid w:val="002B73A4"/>
    <w:rsid w:val="002F7860"/>
    <w:rsid w:val="00306C10"/>
    <w:rsid w:val="00310DD1"/>
    <w:rsid w:val="00315C03"/>
    <w:rsid w:val="003224F8"/>
    <w:rsid w:val="003315F4"/>
    <w:rsid w:val="00360994"/>
    <w:rsid w:val="003655D7"/>
    <w:rsid w:val="003D07B4"/>
    <w:rsid w:val="00402557"/>
    <w:rsid w:val="004158B6"/>
    <w:rsid w:val="00427C16"/>
    <w:rsid w:val="004421BD"/>
    <w:rsid w:val="00443649"/>
    <w:rsid w:val="004707EF"/>
    <w:rsid w:val="004D7100"/>
    <w:rsid w:val="004F6644"/>
    <w:rsid w:val="00504F13"/>
    <w:rsid w:val="005317C2"/>
    <w:rsid w:val="00546C0D"/>
    <w:rsid w:val="00574BD1"/>
    <w:rsid w:val="005B1640"/>
    <w:rsid w:val="005B3D02"/>
    <w:rsid w:val="005C1DFD"/>
    <w:rsid w:val="005D19C7"/>
    <w:rsid w:val="005D4A19"/>
    <w:rsid w:val="005D5C9C"/>
    <w:rsid w:val="005F6432"/>
    <w:rsid w:val="0066019E"/>
    <w:rsid w:val="006764E3"/>
    <w:rsid w:val="00680746"/>
    <w:rsid w:val="006A00A7"/>
    <w:rsid w:val="006A6FC6"/>
    <w:rsid w:val="006B35B8"/>
    <w:rsid w:val="006B3F5E"/>
    <w:rsid w:val="006B612D"/>
    <w:rsid w:val="006B6E7E"/>
    <w:rsid w:val="006E2130"/>
    <w:rsid w:val="006F181A"/>
    <w:rsid w:val="006F2D6F"/>
    <w:rsid w:val="00714549"/>
    <w:rsid w:val="00724661"/>
    <w:rsid w:val="00781FFA"/>
    <w:rsid w:val="0078739B"/>
    <w:rsid w:val="007B0612"/>
    <w:rsid w:val="007D5BA7"/>
    <w:rsid w:val="007F3162"/>
    <w:rsid w:val="008074B3"/>
    <w:rsid w:val="008275D8"/>
    <w:rsid w:val="00847377"/>
    <w:rsid w:val="00856DA8"/>
    <w:rsid w:val="008958CB"/>
    <w:rsid w:val="00896E60"/>
    <w:rsid w:val="008A1E5F"/>
    <w:rsid w:val="008A43B4"/>
    <w:rsid w:val="008A7095"/>
    <w:rsid w:val="008B5071"/>
    <w:rsid w:val="008C388A"/>
    <w:rsid w:val="008F4DC6"/>
    <w:rsid w:val="00940793"/>
    <w:rsid w:val="0099270D"/>
    <w:rsid w:val="009A74F1"/>
    <w:rsid w:val="009B0D09"/>
    <w:rsid w:val="009B59BF"/>
    <w:rsid w:val="009D539D"/>
    <w:rsid w:val="009E1AC3"/>
    <w:rsid w:val="00A4395A"/>
    <w:rsid w:val="00A506E7"/>
    <w:rsid w:val="00A93509"/>
    <w:rsid w:val="00AB5376"/>
    <w:rsid w:val="00AC3D95"/>
    <w:rsid w:val="00B044A6"/>
    <w:rsid w:val="00B61E5E"/>
    <w:rsid w:val="00B85795"/>
    <w:rsid w:val="00BD3873"/>
    <w:rsid w:val="00BE36EB"/>
    <w:rsid w:val="00C16B80"/>
    <w:rsid w:val="00C33AEF"/>
    <w:rsid w:val="00C415B1"/>
    <w:rsid w:val="00C50858"/>
    <w:rsid w:val="00C560DC"/>
    <w:rsid w:val="00C61CB5"/>
    <w:rsid w:val="00C64A61"/>
    <w:rsid w:val="00C81372"/>
    <w:rsid w:val="00C84D28"/>
    <w:rsid w:val="00C90A2B"/>
    <w:rsid w:val="00CB48F9"/>
    <w:rsid w:val="00CC216F"/>
    <w:rsid w:val="00CF2D05"/>
    <w:rsid w:val="00D30B8E"/>
    <w:rsid w:val="00DD5EE1"/>
    <w:rsid w:val="00DE037E"/>
    <w:rsid w:val="00DE3C33"/>
    <w:rsid w:val="00E92D5D"/>
    <w:rsid w:val="00ED7DAC"/>
    <w:rsid w:val="00EF4FC5"/>
    <w:rsid w:val="00F0005B"/>
    <w:rsid w:val="00F63972"/>
    <w:rsid w:val="00FB3760"/>
    <w:rsid w:val="00FB5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colormru v:ext="edit" colors="#017165,#96004a,#b1005d"/>
    </o:shapedefaults>
    <o:shapelayout v:ext="edit">
      <o:idmap v:ext="edit" data="1"/>
    </o:shapelayout>
  </w:shapeDefaults>
  <w:decimalSymbol w:val="."/>
  <w:listSeparator w:val=","/>
  <w15:chartTrackingRefBased/>
  <w15:docId w15:val="{CE2FBDB1-CB6F-4FD7-AAB6-3F158A97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E7"/>
    <w:pPr>
      <w:spacing w:after="120"/>
    </w:pPr>
    <w:rPr>
      <w:rFonts w:ascii="Arial" w:eastAsia="Times New Roman" w:hAnsi="Arial"/>
      <w:sz w:val="22"/>
    </w:rPr>
  </w:style>
  <w:style w:type="paragraph" w:styleId="Heading1">
    <w:name w:val="heading 1"/>
    <w:next w:val="Normal"/>
    <w:qFormat/>
    <w:rsid w:val="009B0D09"/>
    <w:pPr>
      <w:keepNext/>
      <w:spacing w:before="240" w:after="240" w:line="300" w:lineRule="atLeast"/>
      <w:outlineLvl w:val="0"/>
    </w:pPr>
    <w:rPr>
      <w:rFonts w:ascii="Arial" w:eastAsia="Times New Roman" w:hAnsi="Arial" w:cs="Arial"/>
      <w:b/>
      <w:bCs/>
      <w:color w:val="B1005D"/>
      <w:kern w:val="32"/>
      <w:sz w:val="28"/>
      <w:szCs w:val="26"/>
    </w:rPr>
  </w:style>
  <w:style w:type="paragraph" w:styleId="Heading2">
    <w:name w:val="heading 2"/>
    <w:next w:val="Normal"/>
    <w:qFormat/>
    <w:rsid w:val="009B0D09"/>
    <w:pPr>
      <w:keepNext/>
      <w:spacing w:before="160" w:after="40" w:line="300" w:lineRule="atLeast"/>
      <w:outlineLvl w:val="1"/>
    </w:pPr>
    <w:rPr>
      <w:rFonts w:ascii="Arial" w:eastAsia="Times New Roman" w:hAnsi="Arial" w:cs="Arial"/>
      <w:b/>
      <w:bCs/>
      <w:iCs/>
      <w:color w:val="B1005D"/>
      <w:sz w:val="26"/>
      <w:szCs w:val="28"/>
    </w:rPr>
  </w:style>
  <w:style w:type="paragraph" w:styleId="Heading3">
    <w:name w:val="heading 3"/>
    <w:next w:val="Normal"/>
    <w:qFormat/>
    <w:rsid w:val="000759A6"/>
    <w:pPr>
      <w:keepNext/>
      <w:spacing w:before="120" w:after="40" w:line="300" w:lineRule="atLeast"/>
      <w:outlineLvl w:val="2"/>
    </w:pPr>
    <w:rPr>
      <w:rFonts w:ascii="Arial" w:eastAsia="Times New Roman" w:hAnsi="Arial" w:cs="Arial"/>
      <w:b/>
      <w:bCs/>
      <w:sz w:val="24"/>
      <w:szCs w:val="26"/>
    </w:rPr>
  </w:style>
  <w:style w:type="paragraph" w:styleId="Heading4">
    <w:name w:val="heading 4"/>
    <w:basedOn w:val="Normal"/>
    <w:qFormat/>
    <w:rsid w:val="008958CB"/>
    <w:pPr>
      <w:keepNext/>
      <w:numPr>
        <w:numId w:val="7"/>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qFormat/>
    <w:locked/>
    <w:rsid w:val="008958CB"/>
    <w:pPr>
      <w:keepNext/>
      <w:numPr>
        <w:numId w:val="8"/>
      </w:numPr>
      <w:pBdr>
        <w:top w:val="single" w:sz="4" w:space="9" w:color="auto"/>
        <w:left w:val="single" w:sz="4" w:space="16" w:color="auto"/>
        <w:bottom w:val="single" w:sz="4" w:space="12" w:color="auto"/>
        <w:right w:val="single" w:sz="4" w:space="12" w:color="auto"/>
      </w:pBdr>
      <w:ind w:right="284"/>
      <w:outlineLvl w:val="4"/>
    </w:pPr>
  </w:style>
  <w:style w:type="paragraph" w:styleId="Heading7">
    <w:name w:val="heading 7"/>
    <w:next w:val="Normal"/>
    <w:qFormat/>
    <w:locked/>
    <w:rsid w:val="00306C10"/>
    <w:pPr>
      <w:numPr>
        <w:ilvl w:val="6"/>
        <w:numId w:val="1"/>
      </w:numPr>
      <w:spacing w:before="240" w:after="60" w:line="240" w:lineRule="atLeast"/>
      <w:outlineLvl w:val="6"/>
    </w:pPr>
    <w:rPr>
      <w:rFonts w:ascii="Arial" w:eastAsia="Times New Roman" w:hAnsi="Arial"/>
      <w:sz w:val="21"/>
      <w:szCs w:val="24"/>
      <w:lang w:eastAsia="en-US"/>
    </w:rPr>
  </w:style>
  <w:style w:type="paragraph" w:styleId="Heading8">
    <w:name w:val="heading 8"/>
    <w:next w:val="Normal"/>
    <w:qFormat/>
    <w:locked/>
    <w:rsid w:val="00306C10"/>
    <w:pPr>
      <w:numPr>
        <w:ilvl w:val="7"/>
        <w:numId w:val="1"/>
      </w:numPr>
      <w:spacing w:before="240" w:after="60" w:line="240" w:lineRule="atLeast"/>
      <w:outlineLvl w:val="7"/>
    </w:pPr>
    <w:rPr>
      <w:rFonts w:ascii="Arial" w:eastAsia="Times New Roman" w:hAnsi="Arial"/>
      <w:i/>
      <w:iCs/>
      <w:sz w:val="21"/>
      <w:szCs w:val="24"/>
      <w:lang w:eastAsia="en-US"/>
    </w:rPr>
  </w:style>
  <w:style w:type="paragraph" w:styleId="Heading9">
    <w:name w:val="heading 9"/>
    <w:next w:val="Normal"/>
    <w:qFormat/>
    <w:locked/>
    <w:rsid w:val="00306C10"/>
    <w:pPr>
      <w:numPr>
        <w:ilvl w:val="8"/>
        <w:numId w:val="1"/>
      </w:numPr>
      <w:spacing w:before="240" w:after="60" w:line="240" w:lineRule="atLeast"/>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759A6"/>
    <w:pPr>
      <w:tabs>
        <w:tab w:val="center" w:pos="4604"/>
        <w:tab w:val="right" w:pos="9214"/>
      </w:tabs>
      <w:spacing w:line="300" w:lineRule="atLeast"/>
    </w:pPr>
    <w:rPr>
      <w:rFonts w:ascii="Arial" w:eastAsia="Times New Roman" w:hAnsi="Arial"/>
      <w:sz w:val="22"/>
      <w:szCs w:val="24"/>
      <w:lang w:eastAsia="en-US"/>
    </w:rPr>
  </w:style>
  <w:style w:type="paragraph" w:styleId="TOC1">
    <w:name w:val="toc 1"/>
    <w:next w:val="Normal"/>
    <w:locked/>
    <w:rsid w:val="009B0D09"/>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F63972"/>
    <w:pPr>
      <w:numPr>
        <w:numId w:val="10"/>
      </w:numPr>
      <w:spacing w:after="120" w:line="300" w:lineRule="atLeast"/>
    </w:pPr>
    <w:rPr>
      <w:rFonts w:ascii="Arial" w:eastAsia="Times New Roman" w:hAnsi="Arial"/>
      <w:sz w:val="22"/>
      <w:szCs w:val="24"/>
      <w:lang w:eastAsia="en-US"/>
    </w:rPr>
  </w:style>
  <w:style w:type="paragraph" w:styleId="Footer">
    <w:name w:val="footer"/>
    <w:rsid w:val="000759A6"/>
    <w:pPr>
      <w:widowControl w:val="0"/>
      <w:tabs>
        <w:tab w:val="right" w:pos="9214"/>
      </w:tabs>
      <w:spacing w:before="40" w:after="40" w:line="300" w:lineRule="atLeast"/>
    </w:pPr>
    <w:rPr>
      <w:rFonts w:ascii="Arial" w:eastAsia="Times New Roman" w:hAnsi="Arial"/>
      <w:snapToGrid w:val="0"/>
      <w:sz w:val="14"/>
      <w:lang w:eastAsia="en-US"/>
    </w:rPr>
  </w:style>
  <w:style w:type="paragraph" w:styleId="ListBullet2">
    <w:name w:val="List Bullet 2"/>
    <w:rsid w:val="000759A6"/>
    <w:pPr>
      <w:numPr>
        <w:ilvl w:val="1"/>
        <w:numId w:val="8"/>
      </w:numPr>
      <w:spacing w:after="120" w:line="300" w:lineRule="atLeast"/>
    </w:pPr>
    <w:rPr>
      <w:rFonts w:ascii="Arial" w:eastAsia="Times New Roman" w:hAnsi="Arial"/>
      <w:sz w:val="22"/>
      <w:szCs w:val="24"/>
      <w:lang w:eastAsia="en-US"/>
    </w:rPr>
  </w:style>
  <w:style w:type="character" w:styleId="PageNumber">
    <w:name w:val="page number"/>
    <w:semiHidden/>
    <w:rsid w:val="00306C10"/>
    <w:rPr>
      <w:rFonts w:ascii="Arial" w:hAnsi="Arial"/>
      <w:sz w:val="18"/>
    </w:rPr>
  </w:style>
  <w:style w:type="paragraph" w:styleId="ListBullet3">
    <w:name w:val="List Bullet 3"/>
    <w:rsid w:val="000759A6"/>
    <w:pPr>
      <w:numPr>
        <w:ilvl w:val="2"/>
        <w:numId w:val="8"/>
      </w:numPr>
      <w:spacing w:after="120" w:line="300" w:lineRule="atLeast"/>
    </w:pPr>
    <w:rPr>
      <w:rFonts w:ascii="Arial" w:eastAsia="Times New Roman" w:hAnsi="Arial"/>
      <w:sz w:val="22"/>
      <w:szCs w:val="24"/>
      <w:lang w:eastAsia="en-US"/>
    </w:rPr>
  </w:style>
  <w:style w:type="character" w:styleId="FootnoteReference">
    <w:name w:val="footnote reference"/>
    <w:rsid w:val="00680746"/>
    <w:rPr>
      <w:rFonts w:ascii="Arial" w:hAnsi="Arial"/>
      <w:sz w:val="18"/>
      <w:vertAlign w:val="superscript"/>
    </w:rPr>
  </w:style>
  <w:style w:type="paragraph" w:styleId="FootnoteText">
    <w:name w:val="footnote text"/>
    <w:basedOn w:val="Normal"/>
    <w:rsid w:val="00680746"/>
    <w:pPr>
      <w:ind w:left="284" w:hanging="284"/>
    </w:pPr>
    <w:rPr>
      <w:sz w:val="18"/>
    </w:rPr>
  </w:style>
  <w:style w:type="paragraph" w:customStyle="1" w:styleId="AppendixH1">
    <w:name w:val="Appendix H1"/>
    <w:next w:val="Normal"/>
    <w:rsid w:val="00C61CB5"/>
    <w:pPr>
      <w:spacing w:before="240" w:after="240" w:line="300" w:lineRule="atLeast"/>
    </w:pPr>
    <w:rPr>
      <w:rFonts w:ascii="Arial" w:eastAsia="Times New Roman" w:hAnsi="Arial" w:cs="Arial"/>
      <w:b/>
      <w:bCs/>
      <w:color w:val="B1005D"/>
      <w:kern w:val="32"/>
      <w:sz w:val="28"/>
      <w:szCs w:val="26"/>
    </w:rPr>
  </w:style>
  <w:style w:type="paragraph" w:customStyle="1" w:styleId="VLAi">
    <w:name w:val="VLA i."/>
    <w:aliases w:val="ii.,iii."/>
    <w:rsid w:val="000759A6"/>
    <w:pPr>
      <w:numPr>
        <w:ilvl w:val="2"/>
        <w:numId w:val="4"/>
      </w:numPr>
      <w:spacing w:after="120" w:line="300" w:lineRule="atLeast"/>
    </w:pPr>
    <w:rPr>
      <w:rFonts w:ascii="Arial" w:eastAsia="Times New Roman" w:hAnsi="Arial"/>
      <w:sz w:val="22"/>
      <w:szCs w:val="24"/>
      <w:lang w:eastAsia="en-US"/>
    </w:rPr>
  </w:style>
  <w:style w:type="paragraph" w:customStyle="1" w:styleId="VLApicture">
    <w:name w:val="VLA picture"/>
    <w:next w:val="VLAcaption"/>
    <w:rsid w:val="00306C10"/>
    <w:pPr>
      <w:spacing w:after="60" w:line="300" w:lineRule="atLeast"/>
    </w:pPr>
    <w:rPr>
      <w:rFonts w:ascii="Arial" w:eastAsia="Times New Roman" w:hAnsi="Arial"/>
      <w:szCs w:val="24"/>
      <w:lang w:eastAsia="en-US"/>
    </w:rPr>
  </w:style>
  <w:style w:type="paragraph" w:customStyle="1" w:styleId="VLAcaption">
    <w:name w:val="VLA caption"/>
    <w:next w:val="Normal"/>
    <w:rsid w:val="00306C10"/>
    <w:pPr>
      <w:spacing w:after="120" w:line="280" w:lineRule="atLeast"/>
    </w:pPr>
    <w:rPr>
      <w:rFonts w:ascii="Arial" w:eastAsia="Times New Roman" w:hAnsi="Arial"/>
      <w:i/>
      <w:sz w:val="18"/>
      <w:szCs w:val="24"/>
      <w:lang w:eastAsia="en-US"/>
    </w:rPr>
  </w:style>
  <w:style w:type="paragraph" w:customStyle="1" w:styleId="VLAquotation">
    <w:name w:val="VLA quotation"/>
    <w:next w:val="Normal"/>
    <w:rsid w:val="00310DD1"/>
    <w:pPr>
      <w:spacing w:line="240" w:lineRule="atLeast"/>
      <w:ind w:left="720"/>
    </w:pPr>
    <w:rPr>
      <w:rFonts w:ascii="Arial" w:eastAsia="Times New Roman" w:hAnsi="Arial"/>
      <w:i/>
      <w:szCs w:val="24"/>
      <w:lang w:eastAsia="en-US"/>
    </w:rPr>
  </w:style>
  <w:style w:type="paragraph" w:customStyle="1" w:styleId="VLA1">
    <w:name w:val="VLA 1."/>
    <w:aliases w:val="2.,3."/>
    <w:rsid w:val="000759A6"/>
    <w:pPr>
      <w:numPr>
        <w:numId w:val="4"/>
      </w:numPr>
      <w:spacing w:after="120" w:line="300" w:lineRule="atLeast"/>
    </w:pPr>
    <w:rPr>
      <w:rFonts w:ascii="Arial" w:eastAsia="Times New Roman" w:hAnsi="Arial"/>
      <w:sz w:val="22"/>
      <w:szCs w:val="24"/>
      <w:lang w:eastAsia="en-US"/>
    </w:rPr>
  </w:style>
  <w:style w:type="paragraph" w:customStyle="1" w:styleId="VLAa">
    <w:name w:val="VLA a."/>
    <w:aliases w:val="b.,c."/>
    <w:rsid w:val="000759A6"/>
    <w:pPr>
      <w:numPr>
        <w:ilvl w:val="1"/>
        <w:numId w:val="4"/>
      </w:numPr>
      <w:spacing w:after="120" w:line="300" w:lineRule="atLeast"/>
    </w:pPr>
    <w:rPr>
      <w:rFonts w:ascii="Arial" w:eastAsia="Times New Roman" w:hAnsi="Arial"/>
      <w:sz w:val="22"/>
      <w:szCs w:val="24"/>
      <w:lang w:eastAsia="en-US"/>
    </w:rPr>
  </w:style>
  <w:style w:type="paragraph" w:customStyle="1" w:styleId="Confidentialityclause">
    <w:name w:val="Confidentiality clause"/>
    <w:rsid w:val="00306C10"/>
    <w:rPr>
      <w:rFonts w:ascii="Arial" w:eastAsia="Times New Roman" w:hAnsi="Arial"/>
      <w:bCs/>
      <w:kern w:val="28"/>
      <w:sz w:val="18"/>
      <w:lang w:eastAsia="en-US"/>
    </w:rPr>
  </w:style>
  <w:style w:type="character" w:styleId="Hyperlink">
    <w:name w:val="Hyperlink"/>
    <w:rsid w:val="00680746"/>
    <w:rPr>
      <w:rFonts w:ascii="Arial" w:hAnsi="Arial"/>
      <w:color w:val="0000FF"/>
      <w:u w:val="single"/>
      <w:lang w:val="en-AU"/>
    </w:rPr>
  </w:style>
  <w:style w:type="paragraph" w:styleId="ListBullet4">
    <w:name w:val="List Bullet 4"/>
    <w:basedOn w:val="Normal"/>
    <w:semiHidden/>
    <w:rsid w:val="00306C10"/>
    <w:pPr>
      <w:spacing w:after="80"/>
    </w:pPr>
  </w:style>
  <w:style w:type="character" w:styleId="Strong">
    <w:name w:val="Strong"/>
    <w:qFormat/>
    <w:locked/>
    <w:rsid w:val="00680746"/>
    <w:rPr>
      <w:b/>
      <w:bCs/>
    </w:rPr>
  </w:style>
  <w:style w:type="table" w:styleId="TableGrid">
    <w:name w:val="Table Grid"/>
    <w:basedOn w:val="TableNormal"/>
    <w:locked/>
    <w:rsid w:val="00680746"/>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680746"/>
    <w:pPr>
      <w:tabs>
        <w:tab w:val="right" w:leader="dot" w:pos="9790"/>
      </w:tabs>
      <w:spacing w:before="60" w:after="60"/>
      <w:ind w:left="330" w:right="650"/>
    </w:pPr>
    <w:rPr>
      <w:noProof/>
      <w:sz w:val="20"/>
    </w:rPr>
  </w:style>
  <w:style w:type="paragraph" w:styleId="TOC3">
    <w:name w:val="toc 3"/>
    <w:basedOn w:val="Normal"/>
    <w:next w:val="Normal"/>
    <w:locked/>
    <w:rsid w:val="00680746"/>
    <w:pPr>
      <w:tabs>
        <w:tab w:val="right" w:leader="dot" w:pos="9790"/>
      </w:tabs>
      <w:spacing w:before="60" w:after="60"/>
      <w:ind w:left="550" w:right="760"/>
    </w:pPr>
    <w:rPr>
      <w:noProof/>
      <w:sz w:val="20"/>
    </w:rPr>
  </w:style>
  <w:style w:type="paragraph" w:customStyle="1" w:styleId="VLAdefinition">
    <w:name w:val="VLA definition"/>
    <w:basedOn w:val="Normal"/>
    <w:next w:val="Normal"/>
    <w:rsid w:val="00306C10"/>
    <w:pPr>
      <w:tabs>
        <w:tab w:val="left" w:pos="1701"/>
      </w:tabs>
      <w:ind w:left="1701" w:hanging="1701"/>
    </w:pPr>
  </w:style>
  <w:style w:type="paragraph" w:customStyle="1" w:styleId="VLADocumentText">
    <w:name w:val="VLA Document Text"/>
    <w:rsid w:val="000759A6"/>
    <w:pPr>
      <w:spacing w:after="120" w:line="300" w:lineRule="atLeast"/>
    </w:pPr>
    <w:rPr>
      <w:rFonts w:ascii="Arial" w:eastAsia="Times New Roman"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VLALetterText">
    <w:name w:val="VLA Letter Text"/>
    <w:rsid w:val="000759A6"/>
    <w:pPr>
      <w:spacing w:after="120" w:line="300" w:lineRule="atLeast"/>
    </w:pPr>
    <w:rPr>
      <w:rFonts w:ascii="Arial" w:eastAsia="Times New Roman" w:hAnsi="Arial"/>
      <w:sz w:val="22"/>
      <w:szCs w:val="24"/>
      <w:lang w:eastAsia="en-US"/>
    </w:rPr>
  </w:style>
  <w:style w:type="paragraph" w:customStyle="1" w:styleId="VLAProgram">
    <w:name w:val="VLA Program"/>
    <w:basedOn w:val="Header"/>
    <w:next w:val="Normal"/>
    <w:rsid w:val="00DE3C33"/>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0005B"/>
    <w:pPr>
      <w:spacing w:before="120" w:after="960"/>
      <w:ind w:left="-329"/>
    </w:pPr>
    <w:rPr>
      <w:color w:val="FFFFFF"/>
      <w:sz w:val="18"/>
      <w:szCs w:val="18"/>
    </w:rPr>
  </w:style>
  <w:style w:type="paragraph" w:customStyle="1" w:styleId="NormalBold">
    <w:name w:val="Normal Bold"/>
    <w:basedOn w:val="Normal"/>
    <w:next w:val="Normal"/>
    <w:rsid w:val="00F0005B"/>
    <w:rPr>
      <w:b/>
    </w:rPr>
  </w:style>
  <w:style w:type="paragraph" w:customStyle="1" w:styleId="AppendixH2">
    <w:name w:val="Appendix H2"/>
    <w:next w:val="Normal"/>
    <w:rsid w:val="00C61CB5"/>
    <w:pPr>
      <w:spacing w:before="160" w:after="40" w:line="300" w:lineRule="atLeast"/>
    </w:pPr>
    <w:rPr>
      <w:rFonts w:ascii="Arial" w:eastAsia="Times New Roman" w:hAnsi="Arial" w:cs="Arial"/>
      <w:b/>
      <w:bCs/>
      <w:iCs/>
      <w:color w:val="B1005D"/>
      <w:sz w:val="26"/>
      <w:szCs w:val="28"/>
    </w:rPr>
  </w:style>
  <w:style w:type="paragraph" w:customStyle="1" w:styleId="AppendixH3">
    <w:name w:val="Appendix H3"/>
    <w:next w:val="Normal"/>
    <w:rsid w:val="008958CB"/>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40F0B"/>
    <w:pPr>
      <w:numPr>
        <w:numId w:val="9"/>
      </w:numPr>
      <w:spacing w:before="240" w:after="240" w:line="280" w:lineRule="exact"/>
      <w:ind w:left="1760" w:hanging="1760"/>
    </w:pPr>
    <w:rPr>
      <w:rFonts w:ascii="Arial" w:eastAsia="Times New Roman" w:hAnsi="Arial" w:cs="Arial"/>
      <w:b/>
      <w:bCs/>
      <w:color w:val="B1005D"/>
      <w:kern w:val="32"/>
      <w:sz w:val="28"/>
      <w:szCs w:val="32"/>
    </w:rPr>
  </w:style>
  <w:style w:type="paragraph" w:styleId="ListParagraph">
    <w:name w:val="List Paragraph"/>
    <w:basedOn w:val="Normal"/>
    <w:uiPriority w:val="34"/>
    <w:qFormat/>
    <w:rsid w:val="008A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6208-0800-429A-8673-7D8BB81D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Brief and handover to counsel</vt:lpstr>
    </vt:vector>
  </TitlesOfParts>
  <Company>Victoria Legal Aid</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and handover to counsel</dc:title>
  <dc:subject/>
  <dc:creator>Victoria Legal Aid</dc:creator>
  <cp:keywords/>
  <dc:description/>
  <cp:lastModifiedBy/>
  <cp:revision>1</cp:revision>
  <dcterms:created xsi:type="dcterms:W3CDTF">2021-04-28T01:13:00Z</dcterms:created>
  <dcterms:modified xsi:type="dcterms:W3CDTF">2021-04-28T01:13:00Z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